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3F9" w:rsidRDefault="006043F9" w:rsidP="006043F9">
      <w:pPr>
        <w:jc w:val="center"/>
        <w:rPr>
          <w:rFonts w:ascii="Bookman Old Style" w:hAnsi="Bookman Old Style"/>
          <w:b/>
          <w:bCs/>
          <w:sz w:val="28"/>
          <w:szCs w:val="28"/>
        </w:rPr>
      </w:pPr>
      <w:r w:rsidRPr="0029488E">
        <w:rPr>
          <w:rFonts w:ascii="Bookman Old Style" w:hAnsi="Bookman Old Style"/>
          <w:b/>
          <w:bCs/>
          <w:sz w:val="28"/>
          <w:szCs w:val="28"/>
        </w:rPr>
        <w:t>I numeri di Fibonacci e la Legge di Benford</w:t>
      </w:r>
    </w:p>
    <w:p w:rsidR="0029488E" w:rsidRPr="0029488E" w:rsidRDefault="0029488E" w:rsidP="006043F9">
      <w:pPr>
        <w:jc w:val="center"/>
        <w:rPr>
          <w:rFonts w:ascii="Bookman Old Style" w:hAnsi="Bookman Old Style"/>
          <w:b/>
          <w:bCs/>
          <w:sz w:val="28"/>
          <w:szCs w:val="28"/>
        </w:rPr>
      </w:pPr>
    </w:p>
    <w:p w:rsidR="00777354" w:rsidRPr="0029488E" w:rsidRDefault="00472F2F" w:rsidP="00777354">
      <w:pPr>
        <w:jc w:val="both"/>
        <w:rPr>
          <w:rFonts w:ascii="Garamond" w:hAnsi="Garamond"/>
          <w:sz w:val="24"/>
          <w:szCs w:val="24"/>
        </w:rPr>
      </w:pPr>
      <w:r w:rsidRPr="0029488E">
        <w:rPr>
          <w:rFonts w:ascii="Garamond" w:hAnsi="Garamond"/>
          <w:sz w:val="24"/>
          <w:szCs w:val="24"/>
        </w:rPr>
        <w:t>La successione di Fibonacci è, tra le meraviglie della matematica, quella che</w:t>
      </w:r>
      <w:r w:rsidR="00913462" w:rsidRPr="0029488E">
        <w:rPr>
          <w:rFonts w:ascii="Garamond" w:hAnsi="Garamond"/>
          <w:sz w:val="24"/>
          <w:szCs w:val="24"/>
        </w:rPr>
        <w:t xml:space="preserve">, secondo me, </w:t>
      </w:r>
      <w:r w:rsidRPr="0029488E">
        <w:rPr>
          <w:rFonts w:ascii="Garamond" w:hAnsi="Garamond"/>
          <w:sz w:val="24"/>
          <w:szCs w:val="24"/>
        </w:rPr>
        <w:t>maggiormente stupisce</w:t>
      </w:r>
      <w:r w:rsidR="0029488E">
        <w:rPr>
          <w:rFonts w:ascii="Garamond" w:hAnsi="Garamond"/>
          <w:sz w:val="24"/>
          <w:szCs w:val="24"/>
        </w:rPr>
        <w:t xml:space="preserve"> </w:t>
      </w:r>
      <w:r w:rsidRPr="0029488E">
        <w:rPr>
          <w:rFonts w:ascii="Garamond" w:hAnsi="Garamond"/>
          <w:sz w:val="24"/>
          <w:szCs w:val="24"/>
        </w:rPr>
        <w:t>per le molteplici proprietà che offre e, soprattutto, per lo stretto legame con la natura.</w:t>
      </w:r>
    </w:p>
    <w:p w:rsidR="00472F2F" w:rsidRPr="0029488E" w:rsidRDefault="00472F2F" w:rsidP="00777354">
      <w:pPr>
        <w:jc w:val="both"/>
        <w:rPr>
          <w:rFonts w:ascii="Garamond" w:hAnsi="Garamond"/>
          <w:sz w:val="24"/>
          <w:szCs w:val="24"/>
        </w:rPr>
      </w:pPr>
      <w:r w:rsidRPr="0029488E">
        <w:rPr>
          <w:rFonts w:ascii="Garamond" w:hAnsi="Garamond"/>
          <w:sz w:val="24"/>
          <w:szCs w:val="24"/>
        </w:rPr>
        <w:t>A Leonardo Pisano, detto Fibonacci (da filius Bonacci, ovvero figlio di Bonacci), vissuto tra il XII ed il XIII secolo, va il merito di aver scoperto, quasi casualmente, questa progressionenumerica, analizzando come una coppia di conigli si sarebbe accresciuta in un anno.</w:t>
      </w:r>
    </w:p>
    <w:p w:rsidR="00472F2F" w:rsidRPr="0029488E" w:rsidRDefault="00472F2F" w:rsidP="00777354">
      <w:pPr>
        <w:jc w:val="both"/>
        <w:rPr>
          <w:rFonts w:ascii="Garamond" w:hAnsi="Garamond"/>
          <w:sz w:val="24"/>
          <w:szCs w:val="24"/>
        </w:rPr>
      </w:pPr>
      <w:r w:rsidRPr="0029488E">
        <w:rPr>
          <w:rFonts w:ascii="Garamond" w:hAnsi="Garamond"/>
          <w:sz w:val="24"/>
          <w:szCs w:val="24"/>
        </w:rPr>
        <w:t>Partendo dalla coppia iniziale, il ragionamento che fece il Pisano nel suo Liber Abbaci (risalente al1202) fu quello di ipotizzare la nascita di coppie successive tale che ogni nuova coppia ne avrebbepotuta generare un'altra solo il mese successivo.</w:t>
      </w:r>
    </w:p>
    <w:p w:rsidR="00C83712" w:rsidRPr="0029488E" w:rsidRDefault="00472F2F" w:rsidP="00777354">
      <w:pPr>
        <w:jc w:val="both"/>
        <w:rPr>
          <w:rFonts w:ascii="Garamond" w:hAnsi="Garamond"/>
          <w:sz w:val="24"/>
          <w:szCs w:val="24"/>
        </w:rPr>
      </w:pPr>
      <w:r w:rsidRPr="0029488E">
        <w:rPr>
          <w:rFonts w:ascii="Garamond" w:hAnsi="Garamond"/>
          <w:sz w:val="24"/>
          <w:szCs w:val="24"/>
        </w:rPr>
        <w:t>Sommando i vari passaggi, ottenne questo risultato:</w:t>
      </w:r>
    </w:p>
    <w:p w:rsidR="00472F2F" w:rsidRPr="0029488E" w:rsidRDefault="00777354" w:rsidP="00777354">
      <w:pPr>
        <w:jc w:val="center"/>
        <w:rPr>
          <w:rFonts w:ascii="Garamond" w:hAnsi="Garamond"/>
          <w:sz w:val="24"/>
          <w:szCs w:val="24"/>
        </w:rPr>
      </w:pPr>
      <w:r w:rsidRPr="0029488E">
        <w:rPr>
          <w:rFonts w:ascii="Garamond" w:hAnsi="Garamond"/>
          <w:noProof/>
          <w:sz w:val="24"/>
          <w:szCs w:val="24"/>
          <w:lang w:eastAsia="it-IT"/>
        </w:rPr>
        <w:drawing>
          <wp:inline distT="0" distB="0" distL="0" distR="0">
            <wp:extent cx="2495550" cy="23812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95550" cy="2381250"/>
                    </a:xfrm>
                    <a:prstGeom prst="rect">
                      <a:avLst/>
                    </a:prstGeom>
                  </pic:spPr>
                </pic:pic>
              </a:graphicData>
            </a:graphic>
          </wp:inline>
        </w:drawing>
      </w:r>
    </w:p>
    <w:p w:rsidR="00472F2F" w:rsidRPr="0029488E" w:rsidRDefault="00472F2F" w:rsidP="00472F2F">
      <w:pPr>
        <w:rPr>
          <w:rFonts w:ascii="Garamond" w:hAnsi="Garamond"/>
          <w:sz w:val="24"/>
          <w:szCs w:val="24"/>
        </w:rPr>
      </w:pPr>
      <w:r w:rsidRPr="0029488E">
        <w:rPr>
          <w:rFonts w:ascii="Garamond" w:hAnsi="Garamond"/>
          <w:sz w:val="24"/>
          <w:szCs w:val="24"/>
        </w:rPr>
        <w:t>Come si può facilmente osservare, ogni nuovo termine della successione si ottiene dalla somma dei</w:t>
      </w:r>
      <w:r w:rsidR="0029488E">
        <w:rPr>
          <w:rFonts w:ascii="Garamond" w:hAnsi="Garamond"/>
          <w:sz w:val="24"/>
          <w:szCs w:val="24"/>
        </w:rPr>
        <w:t xml:space="preserve"> </w:t>
      </w:r>
      <w:r w:rsidRPr="0029488E">
        <w:rPr>
          <w:rFonts w:ascii="Garamond" w:hAnsi="Garamond"/>
          <w:sz w:val="24"/>
          <w:szCs w:val="24"/>
        </w:rPr>
        <w:t>due termini precedenti e può essere così espressa sotto forma di equazione:</w:t>
      </w:r>
    </w:p>
    <w:p w:rsidR="00472F2F" w:rsidRPr="0029488E" w:rsidRDefault="00472F2F" w:rsidP="00777354">
      <w:pPr>
        <w:jc w:val="center"/>
        <w:rPr>
          <w:rFonts w:ascii="Garamond" w:hAnsi="Garamond"/>
          <w:b/>
          <w:bCs/>
          <w:sz w:val="24"/>
          <w:szCs w:val="24"/>
        </w:rPr>
      </w:pPr>
      <w:r w:rsidRPr="0029488E">
        <w:rPr>
          <w:rFonts w:ascii="Garamond" w:hAnsi="Garamond"/>
          <w:b/>
          <w:bCs/>
          <w:sz w:val="24"/>
          <w:szCs w:val="24"/>
        </w:rPr>
        <w:t>Fn = F(n-2) + F(n-1)</w:t>
      </w:r>
    </w:p>
    <w:p w:rsidR="00472F2F" w:rsidRPr="0029488E" w:rsidRDefault="00472F2F" w:rsidP="00472F2F">
      <w:pPr>
        <w:rPr>
          <w:rFonts w:ascii="Garamond" w:hAnsi="Garamond"/>
          <w:sz w:val="24"/>
          <w:szCs w:val="24"/>
        </w:rPr>
      </w:pPr>
      <w:r w:rsidRPr="0029488E">
        <w:rPr>
          <w:rFonts w:ascii="Garamond" w:hAnsi="Garamond"/>
          <w:sz w:val="24"/>
          <w:szCs w:val="24"/>
        </w:rPr>
        <w:t xml:space="preserve">con </w:t>
      </w:r>
      <w:r w:rsidRPr="0029488E">
        <w:rPr>
          <w:rFonts w:ascii="Garamond" w:hAnsi="Garamond"/>
          <w:b/>
          <w:bCs/>
          <w:i/>
          <w:iCs/>
          <w:sz w:val="24"/>
          <w:szCs w:val="24"/>
        </w:rPr>
        <w:t>n</w:t>
      </w:r>
      <w:r w:rsidRPr="0029488E">
        <w:rPr>
          <w:rFonts w:ascii="Garamond" w:hAnsi="Garamond"/>
          <w:sz w:val="24"/>
          <w:szCs w:val="24"/>
        </w:rPr>
        <w:t xml:space="preserve"> inteso quale numero della serie.</w:t>
      </w:r>
    </w:p>
    <w:p w:rsidR="00472F2F" w:rsidRPr="0029488E" w:rsidRDefault="00472F2F" w:rsidP="00472F2F">
      <w:pPr>
        <w:rPr>
          <w:rFonts w:ascii="Garamond" w:hAnsi="Garamond"/>
          <w:sz w:val="24"/>
          <w:szCs w:val="24"/>
        </w:rPr>
      </w:pPr>
      <w:r w:rsidRPr="0029488E">
        <w:rPr>
          <w:rFonts w:ascii="Garamond" w:hAnsi="Garamond"/>
          <w:sz w:val="24"/>
          <w:szCs w:val="24"/>
        </w:rPr>
        <w:t>Proseguendo la serie all'infinito, possiamo osservare che il rapporto tra un qualsiasi numero della</w:t>
      </w:r>
      <w:r w:rsidR="0029488E">
        <w:rPr>
          <w:rFonts w:ascii="Garamond" w:hAnsi="Garamond"/>
          <w:sz w:val="24"/>
          <w:szCs w:val="24"/>
        </w:rPr>
        <w:t xml:space="preserve"> </w:t>
      </w:r>
      <w:r w:rsidRPr="0029488E">
        <w:rPr>
          <w:rFonts w:ascii="Garamond" w:hAnsi="Garamond"/>
          <w:sz w:val="24"/>
          <w:szCs w:val="24"/>
        </w:rPr>
        <w:t>serie ed il suo precedente tende ad un numero irrazionale, algebrico, molto particolare, noto come</w:t>
      </w:r>
      <w:r w:rsidR="0029488E">
        <w:rPr>
          <w:rFonts w:ascii="Garamond" w:hAnsi="Garamond"/>
          <w:sz w:val="24"/>
          <w:szCs w:val="24"/>
        </w:rPr>
        <w:t xml:space="preserve"> </w:t>
      </w:r>
      <w:r w:rsidRPr="0029488E">
        <w:rPr>
          <w:rFonts w:ascii="Garamond" w:hAnsi="Garamond"/>
          <w:sz w:val="24"/>
          <w:szCs w:val="24"/>
        </w:rPr>
        <w:t xml:space="preserve">numero aureo o </w:t>
      </w:r>
      <w:r w:rsidR="00777354" w:rsidRPr="0029488E">
        <w:rPr>
          <w:rFonts w:ascii="Garamond" w:hAnsi="Garamond"/>
          <w:b/>
          <w:bCs/>
          <w:sz w:val="24"/>
          <w:szCs w:val="24"/>
        </w:rPr>
        <w:t>Ф</w:t>
      </w:r>
      <w:r w:rsidRPr="0029488E">
        <w:rPr>
          <w:rFonts w:ascii="Garamond" w:hAnsi="Garamond"/>
          <w:sz w:val="24"/>
          <w:szCs w:val="24"/>
        </w:rPr>
        <w:t>, pari a 1,6180339887...</w:t>
      </w:r>
    </w:p>
    <w:p w:rsidR="00472F2F" w:rsidRPr="0029488E" w:rsidRDefault="00472F2F" w:rsidP="00777354">
      <w:pPr>
        <w:jc w:val="center"/>
        <w:rPr>
          <w:rFonts w:ascii="Garamond" w:hAnsi="Garamond"/>
          <w:b/>
          <w:bCs/>
          <w:sz w:val="24"/>
          <w:szCs w:val="24"/>
        </w:rPr>
      </w:pPr>
      <w:r w:rsidRPr="0029488E">
        <w:rPr>
          <w:rFonts w:ascii="Garamond" w:hAnsi="Garamond"/>
          <w:b/>
          <w:bCs/>
          <w:sz w:val="24"/>
          <w:szCs w:val="24"/>
        </w:rPr>
        <w:t>lim n→∞ F(n)/ F(n−1) = 1,6180339887</w:t>
      </w:r>
      <w:r w:rsidR="00777354" w:rsidRPr="0029488E">
        <w:rPr>
          <w:rFonts w:ascii="Garamond" w:hAnsi="Garamond"/>
          <w:b/>
          <w:bCs/>
          <w:sz w:val="24"/>
          <w:szCs w:val="24"/>
        </w:rPr>
        <w:t>…</w:t>
      </w:r>
    </w:p>
    <w:p w:rsidR="00472F2F" w:rsidRPr="0029488E" w:rsidRDefault="00472F2F" w:rsidP="00472F2F">
      <w:pPr>
        <w:rPr>
          <w:rFonts w:ascii="Garamond" w:hAnsi="Garamond"/>
          <w:sz w:val="24"/>
          <w:szCs w:val="24"/>
        </w:rPr>
      </w:pPr>
      <w:r w:rsidRPr="0029488E">
        <w:rPr>
          <w:rFonts w:ascii="Garamond" w:hAnsi="Garamond"/>
          <w:sz w:val="24"/>
          <w:szCs w:val="24"/>
        </w:rPr>
        <w:t>Si può anche notare come invertendo il dividendo con il divisore (reciproco), si ottiene lo stesso</w:t>
      </w:r>
      <w:r w:rsidR="00C2253D">
        <w:rPr>
          <w:rFonts w:ascii="Garamond" w:hAnsi="Garamond"/>
          <w:sz w:val="24"/>
          <w:szCs w:val="24"/>
        </w:rPr>
        <w:t xml:space="preserve"> </w:t>
      </w:r>
      <w:r w:rsidRPr="0029488E">
        <w:rPr>
          <w:rFonts w:ascii="Garamond" w:hAnsi="Garamond"/>
          <w:sz w:val="24"/>
          <w:szCs w:val="24"/>
        </w:rPr>
        <w:t>numero meno una unità:</w:t>
      </w:r>
    </w:p>
    <w:p w:rsidR="00472F2F" w:rsidRPr="0029488E" w:rsidRDefault="00472F2F" w:rsidP="00777354">
      <w:pPr>
        <w:jc w:val="center"/>
        <w:rPr>
          <w:rFonts w:ascii="Garamond" w:hAnsi="Garamond"/>
          <w:b/>
          <w:bCs/>
          <w:sz w:val="24"/>
          <w:szCs w:val="24"/>
        </w:rPr>
      </w:pPr>
      <w:r w:rsidRPr="0029488E">
        <w:rPr>
          <w:rFonts w:ascii="Garamond" w:hAnsi="Garamond"/>
          <w:b/>
          <w:bCs/>
          <w:sz w:val="24"/>
          <w:szCs w:val="24"/>
        </w:rPr>
        <w:t>lim n→∞ F(n−1)/F(n) = 0,6180339887...</w:t>
      </w:r>
    </w:p>
    <w:p w:rsidR="00472F2F" w:rsidRPr="0029488E" w:rsidRDefault="00472F2F" w:rsidP="00472F2F">
      <w:pPr>
        <w:rPr>
          <w:rFonts w:ascii="Garamond" w:hAnsi="Garamond"/>
          <w:sz w:val="24"/>
          <w:szCs w:val="24"/>
        </w:rPr>
      </w:pPr>
      <w:r w:rsidRPr="0029488E">
        <w:rPr>
          <w:rFonts w:ascii="Garamond" w:hAnsi="Garamond"/>
          <w:sz w:val="24"/>
          <w:szCs w:val="24"/>
        </w:rPr>
        <w:t>Questo numero particolare è anche il risultato di un rapporto geometrico che Euclide aveva descrittonel 300 a.C. nei suoi “Elementi”, che può essere così definito:</w:t>
      </w:r>
    </w:p>
    <w:p w:rsidR="00777354" w:rsidRPr="0029488E" w:rsidRDefault="00472F2F" w:rsidP="00472F2F">
      <w:pPr>
        <w:rPr>
          <w:rFonts w:ascii="Garamond" w:hAnsi="Garamond"/>
          <w:sz w:val="24"/>
          <w:szCs w:val="24"/>
        </w:rPr>
      </w:pPr>
      <w:r w:rsidRPr="0029488E">
        <w:rPr>
          <w:rFonts w:ascii="Garamond" w:hAnsi="Garamond"/>
          <w:sz w:val="24"/>
          <w:szCs w:val="24"/>
        </w:rPr>
        <w:t>dati due segmenti adiacenti, il maggiore sta al minore come la somma di entrambi sta al maggiore</w:t>
      </w:r>
    </w:p>
    <w:p w:rsidR="00472F2F" w:rsidRPr="0029488E" w:rsidRDefault="00472F2F" w:rsidP="00777354">
      <w:pPr>
        <w:jc w:val="center"/>
        <w:rPr>
          <w:rFonts w:ascii="Garamond" w:hAnsi="Garamond"/>
          <w:b/>
          <w:bCs/>
          <w:sz w:val="24"/>
          <w:szCs w:val="24"/>
        </w:rPr>
      </w:pPr>
      <w:r w:rsidRPr="0029488E">
        <w:rPr>
          <w:rFonts w:ascii="Garamond" w:hAnsi="Garamond"/>
          <w:b/>
          <w:bCs/>
          <w:sz w:val="24"/>
          <w:szCs w:val="24"/>
        </w:rPr>
        <w:lastRenderedPageBreak/>
        <w:t>(</w:t>
      </w:r>
      <w:r w:rsidR="006043F9" w:rsidRPr="0029488E">
        <w:rPr>
          <w:rFonts w:ascii="Garamond" w:hAnsi="Garamond"/>
          <w:b/>
          <w:bCs/>
          <w:sz w:val="24"/>
          <w:szCs w:val="24"/>
        </w:rPr>
        <w:t>A</w:t>
      </w:r>
      <w:r w:rsidRPr="0029488E">
        <w:rPr>
          <w:rFonts w:ascii="Garamond" w:hAnsi="Garamond"/>
          <w:b/>
          <w:bCs/>
          <w:sz w:val="24"/>
          <w:szCs w:val="24"/>
        </w:rPr>
        <w:t xml:space="preserve"> + b) :</w:t>
      </w:r>
      <w:r w:rsidR="00C2253D">
        <w:rPr>
          <w:rFonts w:ascii="Garamond" w:hAnsi="Garamond"/>
          <w:b/>
          <w:bCs/>
          <w:sz w:val="24"/>
          <w:szCs w:val="24"/>
        </w:rPr>
        <w:t xml:space="preserve"> </w:t>
      </w:r>
      <w:r w:rsidR="006043F9" w:rsidRPr="0029488E">
        <w:rPr>
          <w:rFonts w:ascii="Garamond" w:hAnsi="Garamond"/>
          <w:b/>
          <w:bCs/>
          <w:sz w:val="24"/>
          <w:szCs w:val="24"/>
        </w:rPr>
        <w:t>A</w:t>
      </w:r>
      <w:r w:rsidRPr="0029488E">
        <w:rPr>
          <w:rFonts w:ascii="Garamond" w:hAnsi="Garamond"/>
          <w:b/>
          <w:bCs/>
          <w:sz w:val="24"/>
          <w:szCs w:val="24"/>
        </w:rPr>
        <w:t xml:space="preserve"> = </w:t>
      </w:r>
      <w:r w:rsidR="006043F9" w:rsidRPr="0029488E">
        <w:rPr>
          <w:rFonts w:ascii="Garamond" w:hAnsi="Garamond"/>
          <w:b/>
          <w:bCs/>
          <w:sz w:val="24"/>
          <w:szCs w:val="24"/>
        </w:rPr>
        <w:t>A</w:t>
      </w:r>
      <w:r w:rsidRPr="0029488E">
        <w:rPr>
          <w:rFonts w:ascii="Garamond" w:hAnsi="Garamond"/>
          <w:b/>
          <w:bCs/>
          <w:sz w:val="24"/>
          <w:szCs w:val="24"/>
        </w:rPr>
        <w:t xml:space="preserve"> : b</w:t>
      </w:r>
    </w:p>
    <w:p w:rsidR="006043F9" w:rsidRPr="0029488E" w:rsidRDefault="00472F2F" w:rsidP="00777354">
      <w:pPr>
        <w:jc w:val="both"/>
        <w:rPr>
          <w:rFonts w:ascii="Garamond" w:hAnsi="Garamond"/>
          <w:sz w:val="24"/>
          <w:szCs w:val="24"/>
        </w:rPr>
      </w:pPr>
      <w:r w:rsidRPr="0029488E">
        <w:rPr>
          <w:rFonts w:ascii="Garamond" w:hAnsi="Garamond"/>
          <w:sz w:val="24"/>
          <w:szCs w:val="24"/>
        </w:rPr>
        <w:t>Utilizzando la variabile x e l'unità per il segmento maggiore,</w:t>
      </w:r>
    </w:p>
    <w:p w:rsidR="006043F9" w:rsidRPr="0029488E" w:rsidRDefault="006043F9" w:rsidP="006043F9">
      <w:pPr>
        <w:jc w:val="center"/>
        <w:rPr>
          <w:rFonts w:ascii="Garamond" w:hAnsi="Garamond"/>
          <w:sz w:val="24"/>
          <w:szCs w:val="24"/>
        </w:rPr>
      </w:pPr>
      <w:r w:rsidRPr="0029488E">
        <w:rPr>
          <w:rFonts w:ascii="Garamond" w:hAnsi="Garamond"/>
          <w:noProof/>
          <w:sz w:val="24"/>
          <w:szCs w:val="24"/>
          <w:lang w:eastAsia="it-IT"/>
        </w:rPr>
        <w:drawing>
          <wp:inline distT="0" distB="0" distL="0" distR="0">
            <wp:extent cx="2362530" cy="838317"/>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362530" cy="838317"/>
                    </a:xfrm>
                    <a:prstGeom prst="rect">
                      <a:avLst/>
                    </a:prstGeom>
                  </pic:spPr>
                </pic:pic>
              </a:graphicData>
            </a:graphic>
          </wp:inline>
        </w:drawing>
      </w:r>
    </w:p>
    <w:p w:rsidR="00472F2F" w:rsidRPr="0029488E" w:rsidRDefault="00472F2F" w:rsidP="00777354">
      <w:pPr>
        <w:jc w:val="both"/>
        <w:rPr>
          <w:rFonts w:ascii="Garamond" w:hAnsi="Garamond"/>
          <w:sz w:val="24"/>
          <w:szCs w:val="24"/>
        </w:rPr>
      </w:pPr>
      <w:r w:rsidRPr="0029488E">
        <w:rPr>
          <w:rFonts w:ascii="Garamond" w:hAnsi="Garamond"/>
          <w:sz w:val="24"/>
          <w:szCs w:val="24"/>
        </w:rPr>
        <w:t>si ottiene la seguente equazione di II grado:</w:t>
      </w:r>
    </w:p>
    <w:p w:rsidR="00472F2F" w:rsidRPr="0029488E" w:rsidRDefault="00472F2F" w:rsidP="00777354">
      <w:pPr>
        <w:jc w:val="center"/>
        <w:rPr>
          <w:rFonts w:ascii="Garamond" w:hAnsi="Garamond"/>
          <w:b/>
          <w:bCs/>
          <w:sz w:val="24"/>
          <w:szCs w:val="24"/>
        </w:rPr>
      </w:pPr>
      <w:r w:rsidRPr="0029488E">
        <w:rPr>
          <w:rFonts w:ascii="Garamond" w:hAnsi="Garamond"/>
          <w:b/>
          <w:bCs/>
          <w:sz w:val="24"/>
          <w:szCs w:val="24"/>
        </w:rPr>
        <w:t>x² – x – 1 = 0</w:t>
      </w:r>
    </w:p>
    <w:p w:rsidR="00472F2F" w:rsidRPr="0029488E" w:rsidRDefault="00472F2F" w:rsidP="00472F2F">
      <w:pPr>
        <w:rPr>
          <w:rFonts w:ascii="Garamond" w:hAnsi="Garamond"/>
          <w:sz w:val="24"/>
          <w:szCs w:val="24"/>
        </w:rPr>
      </w:pPr>
      <w:r w:rsidRPr="0029488E">
        <w:rPr>
          <w:rFonts w:ascii="Garamond" w:hAnsi="Garamond"/>
          <w:sz w:val="24"/>
          <w:szCs w:val="24"/>
        </w:rPr>
        <w:t>dalla cui soluzione si ottiene il rapporto</w:t>
      </w:r>
      <w:r w:rsidR="009B0B15" w:rsidRPr="0029488E">
        <w:rPr>
          <w:rStyle w:val="Rimandonotaapidipagina"/>
          <w:rFonts w:ascii="Garamond" w:hAnsi="Garamond"/>
          <w:sz w:val="24"/>
          <w:szCs w:val="24"/>
        </w:rPr>
        <w:footnoteReference w:id="2"/>
      </w:r>
      <w:r w:rsidRPr="0029488E">
        <w:rPr>
          <w:rFonts w:ascii="Garamond" w:hAnsi="Garamond"/>
          <w:sz w:val="24"/>
          <w:szCs w:val="24"/>
        </w:rPr>
        <w:t>:</w:t>
      </w:r>
    </w:p>
    <w:p w:rsidR="006043F9" w:rsidRPr="0029488E" w:rsidRDefault="00777354" w:rsidP="006043F9">
      <w:pPr>
        <w:jc w:val="center"/>
        <w:rPr>
          <w:rFonts w:ascii="Garamond" w:hAnsi="Garamond"/>
          <w:sz w:val="24"/>
          <w:szCs w:val="24"/>
        </w:rPr>
      </w:pPr>
      <w:r w:rsidRPr="0029488E">
        <w:rPr>
          <w:rFonts w:ascii="Garamond" w:hAnsi="Garamond"/>
          <w:noProof/>
          <w:sz w:val="24"/>
          <w:szCs w:val="24"/>
          <w:lang w:eastAsia="it-IT"/>
        </w:rPr>
        <w:drawing>
          <wp:inline distT="0" distB="0" distL="0" distR="0">
            <wp:extent cx="2495898" cy="885949"/>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95898" cy="885949"/>
                    </a:xfrm>
                    <a:prstGeom prst="rect">
                      <a:avLst/>
                    </a:prstGeom>
                  </pic:spPr>
                </pic:pic>
              </a:graphicData>
            </a:graphic>
          </wp:inline>
        </w:drawing>
      </w:r>
    </w:p>
    <w:p w:rsidR="00475D51" w:rsidRPr="0029488E" w:rsidRDefault="00472F2F" w:rsidP="00777354">
      <w:pPr>
        <w:jc w:val="both"/>
        <w:rPr>
          <w:rFonts w:ascii="Garamond" w:hAnsi="Garamond"/>
          <w:sz w:val="24"/>
          <w:szCs w:val="24"/>
        </w:rPr>
      </w:pPr>
      <w:r w:rsidRPr="0029488E">
        <w:rPr>
          <w:rFonts w:ascii="Garamond" w:hAnsi="Garamond"/>
          <w:sz w:val="24"/>
          <w:szCs w:val="24"/>
        </w:rPr>
        <w:t>Questo rapporto è stato definito aureo perché l</w:t>
      </w:r>
      <w:r w:rsidR="00475D51" w:rsidRPr="0029488E">
        <w:rPr>
          <w:rFonts w:ascii="Garamond" w:hAnsi="Garamond"/>
          <w:sz w:val="24"/>
          <w:szCs w:val="24"/>
        </w:rPr>
        <w:t>e</w:t>
      </w:r>
      <w:r w:rsidRPr="0029488E">
        <w:rPr>
          <w:rFonts w:ascii="Garamond" w:hAnsi="Garamond"/>
          <w:sz w:val="24"/>
          <w:szCs w:val="24"/>
        </w:rPr>
        <w:t xml:space="preserve"> sue proporzioni riflettono la bellezza naturale delleforme.</w:t>
      </w:r>
    </w:p>
    <w:p w:rsidR="00472F2F" w:rsidRPr="0029488E" w:rsidRDefault="00472F2F" w:rsidP="00777354">
      <w:pPr>
        <w:jc w:val="both"/>
        <w:rPr>
          <w:rFonts w:ascii="Garamond" w:hAnsi="Garamond"/>
          <w:sz w:val="24"/>
          <w:szCs w:val="24"/>
        </w:rPr>
      </w:pPr>
      <w:r w:rsidRPr="0029488E">
        <w:rPr>
          <w:rFonts w:ascii="Garamond" w:hAnsi="Garamond"/>
          <w:sz w:val="24"/>
          <w:szCs w:val="24"/>
        </w:rPr>
        <w:t xml:space="preserve">Il matematico Luca Pacioli, descrisse questa bellezza nel libro </w:t>
      </w:r>
      <w:r w:rsidRPr="0029488E">
        <w:rPr>
          <w:rFonts w:ascii="Garamond" w:hAnsi="Garamond"/>
          <w:i/>
          <w:iCs/>
          <w:sz w:val="24"/>
          <w:szCs w:val="24"/>
        </w:rPr>
        <w:t>De divina proportione</w:t>
      </w:r>
      <w:r w:rsidRPr="0029488E">
        <w:rPr>
          <w:rFonts w:ascii="Garamond" w:hAnsi="Garamond"/>
          <w:sz w:val="24"/>
          <w:szCs w:val="24"/>
        </w:rPr>
        <w:t xml:space="preserve"> (scrittoall'inizio del XVI secolo) in cui mise in risalto le proprietà di questo numero e pubblicò molteosservazioni dirette su elementi naturali.</w:t>
      </w:r>
    </w:p>
    <w:p w:rsidR="00472F2F" w:rsidRPr="0029488E" w:rsidRDefault="00472F2F" w:rsidP="00777354">
      <w:pPr>
        <w:jc w:val="both"/>
        <w:rPr>
          <w:rFonts w:ascii="Garamond" w:hAnsi="Garamond"/>
          <w:sz w:val="24"/>
          <w:szCs w:val="24"/>
        </w:rPr>
      </w:pPr>
      <w:r w:rsidRPr="0029488E">
        <w:rPr>
          <w:rFonts w:ascii="Garamond" w:hAnsi="Garamond"/>
          <w:sz w:val="24"/>
          <w:szCs w:val="24"/>
        </w:rPr>
        <w:t xml:space="preserve">Solo nel XX secolo tuttavia, al numero aureo fu attribuita la lettera greca </w:t>
      </w:r>
      <w:r w:rsidR="008669BB" w:rsidRPr="0029488E">
        <w:rPr>
          <w:rFonts w:ascii="Garamond" w:hAnsi="Garamond"/>
          <w:b/>
          <w:bCs/>
          <w:sz w:val="24"/>
          <w:szCs w:val="24"/>
        </w:rPr>
        <w:t>Ф</w:t>
      </w:r>
      <w:r w:rsidRPr="0029488E">
        <w:rPr>
          <w:rFonts w:ascii="Garamond" w:hAnsi="Garamond"/>
          <w:sz w:val="24"/>
          <w:szCs w:val="24"/>
        </w:rPr>
        <w:t>in onore del grandearchitetto Fidia, il cui nome è legato alla costruzione del Partenone di Atene.</w:t>
      </w:r>
    </w:p>
    <w:p w:rsidR="00472F2F" w:rsidRPr="0029488E" w:rsidRDefault="00472F2F" w:rsidP="00777354">
      <w:pPr>
        <w:jc w:val="both"/>
        <w:rPr>
          <w:rFonts w:ascii="Garamond" w:hAnsi="Garamond"/>
          <w:sz w:val="24"/>
          <w:szCs w:val="24"/>
        </w:rPr>
      </w:pPr>
      <w:r w:rsidRPr="0029488E">
        <w:rPr>
          <w:rFonts w:ascii="Garamond" w:hAnsi="Garamond"/>
          <w:sz w:val="24"/>
          <w:szCs w:val="24"/>
        </w:rPr>
        <w:t>I numeri di Fibonacci, come pure il rapporto aureo, si ritrovano spesso in natura ma anche nell'arte.</w:t>
      </w:r>
    </w:p>
    <w:p w:rsidR="006043F9" w:rsidRPr="0029488E" w:rsidRDefault="006043F9" w:rsidP="00777354">
      <w:pPr>
        <w:jc w:val="both"/>
        <w:rPr>
          <w:rFonts w:ascii="Garamond" w:hAnsi="Garamond"/>
          <w:sz w:val="24"/>
          <w:szCs w:val="24"/>
        </w:rPr>
      </w:pPr>
      <w:r w:rsidRPr="0029488E">
        <w:rPr>
          <w:rFonts w:ascii="Garamond" w:hAnsi="Garamond"/>
          <w:sz w:val="24"/>
          <w:szCs w:val="24"/>
        </w:rPr>
        <w:t>Per fare qualche esempio, possiamo osservare il Nautilus con la sua forma a spirale logaritmica, la galassia a spirale (logaritmica) M51 nei Cani da Caccia, alcuni fiori come il girasole oppure ortaggi come il broccolo romano</w:t>
      </w:r>
      <w:r w:rsidR="00063FC1" w:rsidRPr="0029488E">
        <w:rPr>
          <w:rFonts w:ascii="Garamond" w:hAnsi="Garamond"/>
          <w:sz w:val="24"/>
          <w:szCs w:val="24"/>
        </w:rPr>
        <w:t>, opere d’arte come la facciata del Partenone (in rapporto aureo).</w:t>
      </w:r>
    </w:p>
    <w:p w:rsidR="00472F2F" w:rsidRPr="0029488E" w:rsidRDefault="00472F2F" w:rsidP="00777354">
      <w:pPr>
        <w:jc w:val="both"/>
        <w:rPr>
          <w:rFonts w:ascii="Garamond" w:hAnsi="Garamond"/>
          <w:sz w:val="24"/>
          <w:szCs w:val="24"/>
        </w:rPr>
      </w:pPr>
      <w:r w:rsidRPr="0029488E">
        <w:rPr>
          <w:rFonts w:ascii="Garamond" w:hAnsi="Garamond"/>
          <w:sz w:val="24"/>
          <w:szCs w:val="24"/>
        </w:rPr>
        <w:t>Fin qui nulla di nuovo rispetto alla principale proprietà della successione di Fibonacci anche se,analizzando i numeri della serie, possiamo notare molte altre singolarità che tuttavia non verrannoesposte in questo breve articolo.</w:t>
      </w:r>
    </w:p>
    <w:p w:rsidR="00472F2F" w:rsidRPr="0029488E" w:rsidRDefault="00472F2F" w:rsidP="00777354">
      <w:pPr>
        <w:jc w:val="both"/>
        <w:rPr>
          <w:rFonts w:ascii="Garamond" w:hAnsi="Garamond"/>
          <w:sz w:val="24"/>
          <w:szCs w:val="24"/>
        </w:rPr>
      </w:pPr>
      <w:r w:rsidRPr="0029488E">
        <w:rPr>
          <w:rFonts w:ascii="Garamond" w:hAnsi="Garamond"/>
          <w:sz w:val="24"/>
          <w:szCs w:val="24"/>
        </w:rPr>
        <w:t>Vorrei invece mostrare un'altra proprietà della successione, sicuramente meno nota ma altrettantoentusiasmante</w:t>
      </w:r>
      <w:r w:rsidR="00913462" w:rsidRPr="0029488E">
        <w:rPr>
          <w:rFonts w:ascii="Garamond" w:hAnsi="Garamond"/>
          <w:sz w:val="24"/>
          <w:szCs w:val="24"/>
        </w:rPr>
        <w:t>, anch’essa collegata in qualche modo al mondo reale</w:t>
      </w:r>
      <w:r w:rsidRPr="0029488E">
        <w:rPr>
          <w:rFonts w:ascii="Garamond" w:hAnsi="Garamond"/>
          <w:sz w:val="24"/>
          <w:szCs w:val="24"/>
        </w:rPr>
        <w:t>.</w:t>
      </w:r>
    </w:p>
    <w:p w:rsidR="00472F2F" w:rsidRPr="0029488E" w:rsidRDefault="00472F2F" w:rsidP="00777354">
      <w:pPr>
        <w:jc w:val="both"/>
        <w:rPr>
          <w:rFonts w:ascii="Garamond" w:hAnsi="Garamond"/>
          <w:sz w:val="24"/>
          <w:szCs w:val="24"/>
        </w:rPr>
      </w:pPr>
      <w:r w:rsidRPr="0029488E">
        <w:rPr>
          <w:rFonts w:ascii="Garamond" w:hAnsi="Garamond"/>
          <w:sz w:val="24"/>
          <w:szCs w:val="24"/>
        </w:rPr>
        <w:t>Per apprezzarla, è necessario introdurre un concetto di natura statistica, studiato nel 1938 dal Fisicoamericano Frank Benford, meglio noto come “Legge di Benford” che ho scoperto</w:t>
      </w:r>
      <w:r w:rsidR="00063FC1" w:rsidRPr="0029488E">
        <w:rPr>
          <w:rFonts w:ascii="Garamond" w:hAnsi="Garamond"/>
          <w:sz w:val="24"/>
          <w:szCs w:val="24"/>
        </w:rPr>
        <w:t xml:space="preserve">qualche anno fa </w:t>
      </w:r>
      <w:r w:rsidRPr="0029488E">
        <w:rPr>
          <w:rFonts w:ascii="Garamond" w:hAnsi="Garamond"/>
          <w:sz w:val="24"/>
          <w:szCs w:val="24"/>
        </w:rPr>
        <w:t>leggendo il bellissimo libro di Alex Bellos, “</w:t>
      </w:r>
      <w:r w:rsidRPr="0029488E">
        <w:rPr>
          <w:rFonts w:ascii="Garamond" w:hAnsi="Garamond"/>
          <w:i/>
          <w:iCs/>
          <w:sz w:val="24"/>
          <w:szCs w:val="24"/>
        </w:rPr>
        <w:t>I numeri ci somigliano</w:t>
      </w:r>
      <w:r w:rsidRPr="0029488E">
        <w:rPr>
          <w:rFonts w:ascii="Garamond" w:hAnsi="Garamond"/>
          <w:sz w:val="24"/>
          <w:szCs w:val="24"/>
        </w:rPr>
        <w:t>” (Einaudi, Stile Libero Extra)</w:t>
      </w:r>
      <w:r w:rsidR="00063FC1" w:rsidRPr="0029488E">
        <w:rPr>
          <w:rFonts w:ascii="Garamond" w:hAnsi="Garamond"/>
          <w:sz w:val="24"/>
          <w:szCs w:val="24"/>
        </w:rPr>
        <w:t xml:space="preserve"> ed un articolo pubblicato nel n. 85 di settembre 1973 del periodico </w:t>
      </w:r>
      <w:r w:rsidR="00063FC1" w:rsidRPr="0029488E">
        <w:rPr>
          <w:rFonts w:ascii="Garamond" w:hAnsi="Garamond"/>
          <w:i/>
          <w:iCs/>
          <w:sz w:val="24"/>
          <w:szCs w:val="24"/>
        </w:rPr>
        <w:t>Le Scienze</w:t>
      </w:r>
      <w:r w:rsidR="00063FC1" w:rsidRPr="0029488E">
        <w:rPr>
          <w:rFonts w:ascii="Garamond" w:hAnsi="Garamond"/>
          <w:sz w:val="24"/>
          <w:szCs w:val="24"/>
        </w:rPr>
        <w:t xml:space="preserve">, ripreso nei </w:t>
      </w:r>
      <w:r w:rsidR="00063FC1" w:rsidRPr="0029488E">
        <w:rPr>
          <w:rFonts w:ascii="Garamond" w:hAnsi="Garamond"/>
          <w:i/>
          <w:iCs/>
          <w:sz w:val="24"/>
          <w:szCs w:val="24"/>
        </w:rPr>
        <w:t>Quaderni</w:t>
      </w:r>
      <w:r w:rsidR="00063FC1" w:rsidRPr="0029488E">
        <w:rPr>
          <w:rFonts w:ascii="Garamond" w:hAnsi="Garamond"/>
          <w:sz w:val="24"/>
          <w:szCs w:val="24"/>
        </w:rPr>
        <w:t>, n. 45, dicembre 1988</w:t>
      </w:r>
      <w:r w:rsidRPr="0029488E">
        <w:rPr>
          <w:rFonts w:ascii="Garamond" w:hAnsi="Garamond"/>
          <w:sz w:val="24"/>
          <w:szCs w:val="24"/>
        </w:rPr>
        <w:t>.</w:t>
      </w:r>
    </w:p>
    <w:p w:rsidR="00472F2F" w:rsidRPr="0029488E" w:rsidRDefault="00472F2F" w:rsidP="00777354">
      <w:pPr>
        <w:jc w:val="both"/>
        <w:rPr>
          <w:rFonts w:ascii="Garamond" w:hAnsi="Garamond"/>
          <w:sz w:val="24"/>
          <w:szCs w:val="24"/>
        </w:rPr>
      </w:pPr>
      <w:r w:rsidRPr="0029488E">
        <w:rPr>
          <w:rFonts w:ascii="Garamond" w:hAnsi="Garamond"/>
          <w:sz w:val="24"/>
          <w:szCs w:val="24"/>
        </w:rPr>
        <w:lastRenderedPageBreak/>
        <w:t>Benford aveva osservato una strana proprietà riguardante la distribuzione delle cifre iniziali di vari</w:t>
      </w:r>
      <w:r w:rsidR="00C2253D">
        <w:rPr>
          <w:rFonts w:ascii="Garamond" w:hAnsi="Garamond"/>
          <w:sz w:val="24"/>
          <w:szCs w:val="24"/>
        </w:rPr>
        <w:t xml:space="preserve"> </w:t>
      </w:r>
      <w:r w:rsidRPr="0029488E">
        <w:rPr>
          <w:rFonts w:ascii="Garamond" w:hAnsi="Garamond"/>
          <w:sz w:val="24"/>
          <w:szCs w:val="24"/>
        </w:rPr>
        <w:t xml:space="preserve">insiemi o campioni di dati </w:t>
      </w:r>
      <w:r w:rsidR="00913462" w:rsidRPr="0029488E">
        <w:rPr>
          <w:rFonts w:ascii="Garamond" w:hAnsi="Garamond"/>
          <w:sz w:val="24"/>
          <w:szCs w:val="24"/>
        </w:rPr>
        <w:t xml:space="preserve">non omogenei </w:t>
      </w:r>
      <w:r w:rsidRPr="0029488E">
        <w:rPr>
          <w:rFonts w:ascii="Garamond" w:hAnsi="Garamond"/>
          <w:sz w:val="24"/>
          <w:szCs w:val="24"/>
        </w:rPr>
        <w:t>(es. tabelle demografiche, pesi atomici degli elementi, etc.): in genere, il</w:t>
      </w:r>
      <w:r w:rsidR="00C2253D">
        <w:rPr>
          <w:rFonts w:ascii="Garamond" w:hAnsi="Garamond"/>
          <w:sz w:val="24"/>
          <w:szCs w:val="24"/>
        </w:rPr>
        <w:t xml:space="preserve"> </w:t>
      </w:r>
      <w:r w:rsidRPr="0029488E">
        <w:rPr>
          <w:rFonts w:ascii="Garamond" w:hAnsi="Garamond"/>
          <w:sz w:val="24"/>
          <w:szCs w:val="24"/>
        </w:rPr>
        <w:t>numero 1 era presente per il 30% circa del campione esaminato, il 2 per il 17% circa e così via adecrescere fino a circa il 5% del numero 9.</w:t>
      </w:r>
    </w:p>
    <w:p w:rsidR="00472F2F" w:rsidRPr="0029488E" w:rsidRDefault="00472F2F" w:rsidP="00777354">
      <w:pPr>
        <w:jc w:val="both"/>
        <w:rPr>
          <w:rFonts w:ascii="Garamond" w:hAnsi="Garamond"/>
          <w:sz w:val="24"/>
          <w:szCs w:val="24"/>
        </w:rPr>
      </w:pPr>
      <w:r w:rsidRPr="0029488E">
        <w:rPr>
          <w:rFonts w:ascii="Garamond" w:hAnsi="Garamond"/>
          <w:sz w:val="24"/>
          <w:szCs w:val="24"/>
        </w:rPr>
        <w:t>Ovunque volgesse lo sguardo, la proprietà era soddisfatta.</w:t>
      </w:r>
    </w:p>
    <w:p w:rsidR="00475D51" w:rsidRPr="0029488E" w:rsidRDefault="00472F2F" w:rsidP="00777354">
      <w:pPr>
        <w:jc w:val="both"/>
        <w:rPr>
          <w:rFonts w:ascii="Garamond" w:hAnsi="Garamond"/>
          <w:sz w:val="24"/>
          <w:szCs w:val="24"/>
        </w:rPr>
      </w:pPr>
      <w:r w:rsidRPr="0029488E">
        <w:rPr>
          <w:rFonts w:ascii="Garamond" w:hAnsi="Garamond"/>
          <w:sz w:val="24"/>
          <w:szCs w:val="24"/>
        </w:rPr>
        <w:t>Questa proprietà tuttavia era già stata notata nel 1881 dall'astronomo americano di origini canadesi</w:t>
      </w:r>
      <w:r w:rsidR="00C2253D">
        <w:rPr>
          <w:rFonts w:ascii="Garamond" w:hAnsi="Garamond"/>
          <w:sz w:val="24"/>
          <w:szCs w:val="24"/>
        </w:rPr>
        <w:t xml:space="preserve"> </w:t>
      </w:r>
      <w:r w:rsidRPr="0029488E">
        <w:rPr>
          <w:rFonts w:ascii="Garamond" w:hAnsi="Garamond"/>
          <w:sz w:val="24"/>
          <w:szCs w:val="24"/>
        </w:rPr>
        <w:t>Simon Newcomb che, osservando vecchi libri di tavole logaritmiche, notò che le prime pagine conle tavole dei numeri che iniziano per 1 erano più consumate delle ultime (dove abbonda il 9).</w:t>
      </w:r>
    </w:p>
    <w:p w:rsidR="00475D51" w:rsidRPr="0029488E" w:rsidRDefault="00472F2F" w:rsidP="00777354">
      <w:pPr>
        <w:jc w:val="both"/>
        <w:rPr>
          <w:rFonts w:ascii="Garamond" w:hAnsi="Garamond"/>
          <w:sz w:val="24"/>
          <w:szCs w:val="24"/>
        </w:rPr>
      </w:pPr>
      <w:r w:rsidRPr="0029488E">
        <w:rPr>
          <w:rFonts w:ascii="Garamond" w:hAnsi="Garamond"/>
          <w:sz w:val="24"/>
          <w:szCs w:val="24"/>
        </w:rPr>
        <w:t>Tenuto conto che le tavole logaritmiche erano all'epoca utilizzate per lavoro (erano le nostre</w:t>
      </w:r>
      <w:r w:rsidR="00C2253D">
        <w:rPr>
          <w:rFonts w:ascii="Garamond" w:hAnsi="Garamond"/>
          <w:sz w:val="24"/>
          <w:szCs w:val="24"/>
        </w:rPr>
        <w:t xml:space="preserve"> </w:t>
      </w:r>
      <w:r w:rsidRPr="0029488E">
        <w:rPr>
          <w:rFonts w:ascii="Garamond" w:hAnsi="Garamond"/>
          <w:sz w:val="24"/>
          <w:szCs w:val="24"/>
        </w:rPr>
        <w:t>calcolatrici!!!) e che, quindi, le loro consultazioni erano sicuramente destinate a problemi pratici(non è pensabile che le tavole fossero sfogliate con la sola intenzione di leggerle), Newcombdedusse che la distribuzio</w:t>
      </w:r>
      <w:r w:rsidR="00C2253D">
        <w:rPr>
          <w:rFonts w:ascii="Garamond" w:hAnsi="Garamond"/>
          <w:sz w:val="24"/>
          <w:szCs w:val="24"/>
        </w:rPr>
        <w:t xml:space="preserve"> </w:t>
      </w:r>
      <w:r w:rsidRPr="0029488E">
        <w:rPr>
          <w:rFonts w:ascii="Garamond" w:hAnsi="Garamond"/>
          <w:sz w:val="24"/>
          <w:szCs w:val="24"/>
        </w:rPr>
        <w:t>ne delle cifre iniziali (con la prevalenza del numero 1 e, a scalare, fino al9) non fosse una pura coincidenza ma il frutto di una qualche legge matematica.</w:t>
      </w:r>
    </w:p>
    <w:p w:rsidR="00472F2F" w:rsidRPr="0029488E" w:rsidRDefault="00472F2F" w:rsidP="00777354">
      <w:pPr>
        <w:jc w:val="both"/>
        <w:rPr>
          <w:rFonts w:ascii="Garamond" w:hAnsi="Garamond"/>
          <w:sz w:val="24"/>
          <w:szCs w:val="24"/>
        </w:rPr>
      </w:pPr>
      <w:r w:rsidRPr="0029488E">
        <w:rPr>
          <w:rFonts w:ascii="Garamond" w:hAnsi="Garamond"/>
          <w:sz w:val="24"/>
          <w:szCs w:val="24"/>
        </w:rPr>
        <w:t>Egli notò, infatti, che la distribuzione dei numeri seguiva i valori dei logaritmi in base 10.</w:t>
      </w:r>
    </w:p>
    <w:p w:rsidR="00472F2F" w:rsidRPr="0029488E" w:rsidRDefault="00472F2F" w:rsidP="00777354">
      <w:pPr>
        <w:jc w:val="both"/>
        <w:rPr>
          <w:rFonts w:ascii="Garamond" w:hAnsi="Garamond"/>
          <w:sz w:val="24"/>
          <w:szCs w:val="24"/>
        </w:rPr>
      </w:pPr>
      <w:r w:rsidRPr="0029488E">
        <w:rPr>
          <w:rFonts w:ascii="Garamond" w:hAnsi="Garamond"/>
          <w:sz w:val="24"/>
          <w:szCs w:val="24"/>
        </w:rPr>
        <w:t>Se, infatti, sviluppiamo il valore dei logaritmi da 1 a 10 e operiamo la differenza tra i due terminisuccessivi, notiamo che la stessa differenza, espressa in percentuale, risponde proprio alladistribuzione numerica delle cifre da 1 a 9 (vedi tabella seguente).</w:t>
      </w:r>
    </w:p>
    <w:p w:rsidR="00475D51" w:rsidRPr="0029488E" w:rsidRDefault="00475D51" w:rsidP="00475D51">
      <w:pPr>
        <w:jc w:val="center"/>
        <w:rPr>
          <w:rFonts w:ascii="Garamond" w:hAnsi="Garamond"/>
          <w:sz w:val="24"/>
          <w:szCs w:val="24"/>
        </w:rPr>
      </w:pPr>
      <w:r w:rsidRPr="0029488E">
        <w:rPr>
          <w:rFonts w:ascii="Garamond" w:hAnsi="Garamond"/>
          <w:noProof/>
          <w:sz w:val="24"/>
          <w:szCs w:val="24"/>
          <w:lang w:eastAsia="it-IT"/>
        </w:rPr>
        <w:drawing>
          <wp:inline distT="0" distB="0" distL="0" distR="0">
            <wp:extent cx="3743847" cy="2172003"/>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743847" cy="2172003"/>
                    </a:xfrm>
                    <a:prstGeom prst="rect">
                      <a:avLst/>
                    </a:prstGeom>
                  </pic:spPr>
                </pic:pic>
              </a:graphicData>
            </a:graphic>
          </wp:inline>
        </w:drawing>
      </w:r>
    </w:p>
    <w:p w:rsidR="00475D51" w:rsidRPr="0029488E" w:rsidRDefault="00472F2F" w:rsidP="00777354">
      <w:pPr>
        <w:jc w:val="both"/>
        <w:rPr>
          <w:rFonts w:ascii="Garamond" w:hAnsi="Garamond"/>
          <w:sz w:val="24"/>
          <w:szCs w:val="24"/>
        </w:rPr>
      </w:pPr>
      <w:r w:rsidRPr="0029488E">
        <w:rPr>
          <w:rFonts w:ascii="Garamond" w:hAnsi="Garamond"/>
          <w:sz w:val="24"/>
          <w:szCs w:val="24"/>
        </w:rPr>
        <w:t>Secondo le osservazioni di Newcomb, le percentuali dei numeri iniziali di campioni di dati non</w:t>
      </w:r>
      <w:r w:rsidR="00C2253D">
        <w:rPr>
          <w:rFonts w:ascii="Garamond" w:hAnsi="Garamond"/>
          <w:sz w:val="24"/>
          <w:szCs w:val="24"/>
        </w:rPr>
        <w:t xml:space="preserve"> </w:t>
      </w:r>
      <w:r w:rsidRPr="0029488E">
        <w:rPr>
          <w:rFonts w:ascii="Garamond" w:hAnsi="Garamond"/>
          <w:sz w:val="24"/>
          <w:szCs w:val="24"/>
        </w:rPr>
        <w:t>omogenei e casuali, rispondevano proprio a questa proprietà.</w:t>
      </w:r>
    </w:p>
    <w:p w:rsidR="00475D51" w:rsidRPr="0029488E" w:rsidRDefault="00472F2F" w:rsidP="00777354">
      <w:pPr>
        <w:jc w:val="both"/>
        <w:rPr>
          <w:rFonts w:ascii="Garamond" w:hAnsi="Garamond"/>
          <w:sz w:val="24"/>
          <w:szCs w:val="24"/>
        </w:rPr>
      </w:pPr>
      <w:r w:rsidRPr="0029488E">
        <w:rPr>
          <w:rFonts w:ascii="Garamond" w:hAnsi="Garamond"/>
          <w:sz w:val="24"/>
          <w:szCs w:val="24"/>
        </w:rPr>
        <w:t>Gli studi di Benford – del tutto autonomi rispetto a quelli di Newcomb di cui sembra non fosse a</w:t>
      </w:r>
      <w:r w:rsidR="00C2253D">
        <w:rPr>
          <w:rFonts w:ascii="Garamond" w:hAnsi="Garamond"/>
          <w:sz w:val="24"/>
          <w:szCs w:val="24"/>
        </w:rPr>
        <w:t xml:space="preserve"> </w:t>
      </w:r>
      <w:r w:rsidRPr="0029488E">
        <w:rPr>
          <w:rFonts w:ascii="Garamond" w:hAnsi="Garamond"/>
          <w:sz w:val="24"/>
          <w:szCs w:val="24"/>
        </w:rPr>
        <w:t>conoscenza - non ottennero la giusta attenzione del mondo matematico e solo negli anni '90 lostatistico americano Ted Hill provò a trovare una spiegazione teorica della notazione di Benford escoprì che in realtà la distribuzione numerica delle cifre iniziali di campioni non omogenei dinumeri casuali, oltre a seguire lo schema (poi definita Legge) scoperto da Benford, si “riproduceva”anche modificandone la scala (per fare un esempio, se un campione di dati obbedisce alla Legge diBenford, moltiplicandolo per una costante, il risultato finale obbedirà anch'esso alla proprietà delcampione di origine</w:t>
      </w:r>
      <w:r w:rsidR="00475D51" w:rsidRPr="0029488E">
        <w:rPr>
          <w:rStyle w:val="Rimandonotaapidipagina"/>
          <w:rFonts w:ascii="Garamond" w:hAnsi="Garamond"/>
          <w:sz w:val="24"/>
          <w:szCs w:val="24"/>
        </w:rPr>
        <w:footnoteReference w:id="3"/>
      </w:r>
      <w:r w:rsidRPr="0029488E">
        <w:rPr>
          <w:rFonts w:ascii="Garamond" w:hAnsi="Garamond"/>
          <w:sz w:val="24"/>
          <w:szCs w:val="24"/>
        </w:rPr>
        <w:t>).</w:t>
      </w:r>
    </w:p>
    <w:p w:rsidR="00472F2F" w:rsidRPr="0029488E" w:rsidRDefault="00472F2F" w:rsidP="00777354">
      <w:pPr>
        <w:jc w:val="both"/>
        <w:rPr>
          <w:rFonts w:ascii="Garamond" w:hAnsi="Garamond"/>
          <w:sz w:val="24"/>
          <w:szCs w:val="24"/>
        </w:rPr>
      </w:pPr>
      <w:r w:rsidRPr="0029488E">
        <w:rPr>
          <w:rFonts w:ascii="Garamond" w:hAnsi="Garamond"/>
          <w:sz w:val="24"/>
          <w:szCs w:val="24"/>
        </w:rPr>
        <w:lastRenderedPageBreak/>
        <w:t>Hill notò, inoltre, che i numeri 1, 2 e 3 abbondavano rispetto agli altri, e la loro somma era sempremaggiore rispetto agli altri (espressa in termini percentuali, diciamo che la terna iniziale supera il50% del totale dei campioni osservati, attestandosi intorno al 60%).</w:t>
      </w:r>
    </w:p>
    <w:p w:rsidR="00472F2F" w:rsidRPr="0029488E" w:rsidRDefault="00472F2F" w:rsidP="00777354">
      <w:pPr>
        <w:jc w:val="both"/>
        <w:rPr>
          <w:rFonts w:ascii="Garamond" w:hAnsi="Garamond"/>
          <w:sz w:val="24"/>
          <w:szCs w:val="24"/>
        </w:rPr>
      </w:pPr>
      <w:r w:rsidRPr="0029488E">
        <w:rPr>
          <w:rFonts w:ascii="Garamond" w:hAnsi="Garamond"/>
          <w:sz w:val="24"/>
          <w:szCs w:val="24"/>
        </w:rPr>
        <w:t>Questa proprietà ha assunto l'appellativo di “legge di Benford” in quanto vera ma non dimostrabile</w:t>
      </w:r>
      <w:r w:rsidR="00C2253D">
        <w:rPr>
          <w:rFonts w:ascii="Garamond" w:hAnsi="Garamond"/>
          <w:sz w:val="24"/>
          <w:szCs w:val="24"/>
        </w:rPr>
        <w:t xml:space="preserve"> </w:t>
      </w:r>
      <w:r w:rsidRPr="0029488E">
        <w:rPr>
          <w:rFonts w:ascii="Garamond" w:hAnsi="Garamond"/>
          <w:sz w:val="24"/>
          <w:szCs w:val="24"/>
        </w:rPr>
        <w:t>secondo le rigorose regole matematiche. Insomma, una sorta di capriccio della natura espresso sottoforma di numeri.</w:t>
      </w:r>
    </w:p>
    <w:p w:rsidR="00472F2F" w:rsidRPr="0029488E" w:rsidRDefault="00472F2F" w:rsidP="00777354">
      <w:pPr>
        <w:jc w:val="both"/>
        <w:rPr>
          <w:rFonts w:ascii="Garamond" w:hAnsi="Garamond"/>
          <w:sz w:val="24"/>
          <w:szCs w:val="24"/>
        </w:rPr>
      </w:pPr>
      <w:r w:rsidRPr="0029488E">
        <w:rPr>
          <w:rFonts w:ascii="Garamond" w:hAnsi="Garamond"/>
          <w:sz w:val="24"/>
          <w:szCs w:val="24"/>
        </w:rPr>
        <w:t>Parlando di natura, non poteva ovviamente mancare all'appello la Successione di Fibonacci, che inmaniera assolutamente rigorosa rispetta la “legge di Benford”.</w:t>
      </w:r>
    </w:p>
    <w:p w:rsidR="00472F2F" w:rsidRPr="0029488E" w:rsidRDefault="00472F2F" w:rsidP="00777354">
      <w:pPr>
        <w:jc w:val="both"/>
        <w:rPr>
          <w:rFonts w:ascii="Garamond" w:hAnsi="Garamond"/>
          <w:sz w:val="24"/>
          <w:szCs w:val="24"/>
        </w:rPr>
      </w:pPr>
      <w:r w:rsidRPr="0029488E">
        <w:rPr>
          <w:rFonts w:ascii="Garamond" w:hAnsi="Garamond"/>
          <w:sz w:val="24"/>
          <w:szCs w:val="24"/>
        </w:rPr>
        <w:t xml:space="preserve">Per mostrare questa proprietà, ho utilizzato il foglio di calcolo elettronico dell'applicativo </w:t>
      </w:r>
      <w:r w:rsidR="00BB2BF7" w:rsidRPr="0029488E">
        <w:rPr>
          <w:rFonts w:ascii="Garamond" w:hAnsi="Garamond"/>
          <w:sz w:val="24"/>
          <w:szCs w:val="24"/>
        </w:rPr>
        <w:t>Excel</w:t>
      </w:r>
      <w:r w:rsidR="00063FC1" w:rsidRPr="0029488E">
        <w:rPr>
          <w:rFonts w:ascii="Garamond" w:hAnsi="Garamond"/>
          <w:sz w:val="24"/>
          <w:szCs w:val="24"/>
        </w:rPr>
        <w:t xml:space="preserve"> dal quale</w:t>
      </w:r>
      <w:r w:rsidRPr="0029488E">
        <w:rPr>
          <w:rFonts w:ascii="Garamond" w:hAnsi="Garamond"/>
          <w:sz w:val="24"/>
          <w:szCs w:val="24"/>
        </w:rPr>
        <w:t xml:space="preserve"> ho estratto le cifre iniziali di un campione di 1476 numeri (Fn)della Successione (non è possibile superare questo limite perché il programma non riconosce cifremaggiori), che risultano così distribuite:</w:t>
      </w:r>
    </w:p>
    <w:p w:rsidR="00472F2F" w:rsidRPr="0029488E" w:rsidRDefault="00475D51" w:rsidP="00475D51">
      <w:pPr>
        <w:jc w:val="center"/>
        <w:rPr>
          <w:rFonts w:ascii="Garamond" w:hAnsi="Garamond"/>
          <w:sz w:val="24"/>
          <w:szCs w:val="24"/>
        </w:rPr>
      </w:pPr>
      <w:r w:rsidRPr="0029488E">
        <w:rPr>
          <w:rFonts w:ascii="Garamond" w:hAnsi="Garamond"/>
          <w:noProof/>
          <w:sz w:val="24"/>
          <w:szCs w:val="24"/>
          <w:lang w:eastAsia="it-IT"/>
        </w:rPr>
        <w:drawing>
          <wp:inline distT="0" distB="0" distL="0" distR="0">
            <wp:extent cx="4620270" cy="504895"/>
            <wp:effectExtent l="0" t="0" r="889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620270" cy="504895"/>
                    </a:xfrm>
                    <a:prstGeom prst="rect">
                      <a:avLst/>
                    </a:prstGeom>
                  </pic:spPr>
                </pic:pic>
              </a:graphicData>
            </a:graphic>
          </wp:inline>
        </w:drawing>
      </w:r>
    </w:p>
    <w:p w:rsidR="00472F2F" w:rsidRPr="0029488E" w:rsidRDefault="00472F2F" w:rsidP="00777354">
      <w:pPr>
        <w:jc w:val="both"/>
        <w:rPr>
          <w:rFonts w:ascii="Garamond" w:hAnsi="Garamond"/>
          <w:sz w:val="24"/>
          <w:szCs w:val="24"/>
        </w:rPr>
      </w:pPr>
      <w:r w:rsidRPr="0029488E">
        <w:rPr>
          <w:rFonts w:ascii="Garamond" w:hAnsi="Garamond"/>
          <w:sz w:val="24"/>
          <w:szCs w:val="24"/>
        </w:rPr>
        <w:t>In termini percentuali, la distribuzione è così espressa:</w:t>
      </w:r>
    </w:p>
    <w:p w:rsidR="00475D51" w:rsidRPr="0029488E" w:rsidRDefault="00475D51" w:rsidP="00475D51">
      <w:pPr>
        <w:jc w:val="center"/>
        <w:rPr>
          <w:rFonts w:ascii="Garamond" w:hAnsi="Garamond"/>
          <w:sz w:val="24"/>
          <w:szCs w:val="24"/>
        </w:rPr>
      </w:pPr>
      <w:r w:rsidRPr="0029488E">
        <w:rPr>
          <w:rFonts w:ascii="Garamond" w:hAnsi="Garamond"/>
          <w:noProof/>
          <w:sz w:val="24"/>
          <w:szCs w:val="24"/>
          <w:lang w:eastAsia="it-IT"/>
        </w:rPr>
        <w:drawing>
          <wp:inline distT="0" distB="0" distL="0" distR="0">
            <wp:extent cx="4782217" cy="409632"/>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782217" cy="409632"/>
                    </a:xfrm>
                    <a:prstGeom prst="rect">
                      <a:avLst/>
                    </a:prstGeom>
                  </pic:spPr>
                </pic:pic>
              </a:graphicData>
            </a:graphic>
          </wp:inline>
        </w:drawing>
      </w:r>
    </w:p>
    <w:p w:rsidR="00472F2F" w:rsidRPr="0029488E" w:rsidRDefault="00472F2F" w:rsidP="00777354">
      <w:pPr>
        <w:jc w:val="both"/>
        <w:rPr>
          <w:rFonts w:ascii="Garamond" w:hAnsi="Garamond"/>
          <w:sz w:val="24"/>
          <w:szCs w:val="24"/>
        </w:rPr>
      </w:pPr>
      <w:r w:rsidRPr="0029488E">
        <w:rPr>
          <w:rFonts w:ascii="Garamond" w:hAnsi="Garamond"/>
          <w:sz w:val="24"/>
          <w:szCs w:val="24"/>
        </w:rPr>
        <w:t>Ricordando le percentuali che derivano dalle risultanze logaritmiche dei numeri da 1 a 10, possiamo</w:t>
      </w:r>
      <w:r w:rsidR="00C2253D">
        <w:rPr>
          <w:rFonts w:ascii="Garamond" w:hAnsi="Garamond"/>
          <w:sz w:val="24"/>
          <w:szCs w:val="24"/>
        </w:rPr>
        <w:t xml:space="preserve"> </w:t>
      </w:r>
      <w:r w:rsidRPr="0029488E">
        <w:rPr>
          <w:rFonts w:ascii="Garamond" w:hAnsi="Garamond"/>
          <w:sz w:val="24"/>
          <w:szCs w:val="24"/>
        </w:rPr>
        <w:t>notare che le percentuali delle prime cifre (da 1 a 9) in termini di frequenza corrispondono quasi</w:t>
      </w:r>
      <w:r w:rsidR="00C2253D">
        <w:rPr>
          <w:rFonts w:ascii="Garamond" w:hAnsi="Garamond"/>
          <w:sz w:val="24"/>
          <w:szCs w:val="24"/>
        </w:rPr>
        <w:t xml:space="preserve"> </w:t>
      </w:r>
      <w:r w:rsidRPr="0029488E">
        <w:rPr>
          <w:rFonts w:ascii="Garamond" w:hAnsi="Garamond"/>
          <w:sz w:val="24"/>
          <w:szCs w:val="24"/>
        </w:rPr>
        <w:t>esattamente alla differenza tra valori successivi di Log10 dei primi 10 numeri naturali.</w:t>
      </w:r>
    </w:p>
    <w:p w:rsidR="00472F2F" w:rsidRPr="0029488E" w:rsidRDefault="00472F2F" w:rsidP="00777354">
      <w:pPr>
        <w:jc w:val="both"/>
        <w:rPr>
          <w:rFonts w:ascii="Garamond" w:hAnsi="Garamond"/>
          <w:sz w:val="24"/>
          <w:szCs w:val="24"/>
        </w:rPr>
      </w:pPr>
      <w:r w:rsidRPr="0029488E">
        <w:rPr>
          <w:rFonts w:ascii="Garamond" w:hAnsi="Garamond"/>
          <w:sz w:val="24"/>
          <w:szCs w:val="24"/>
        </w:rPr>
        <w:t>Nella tabella che segue, ho riportato uno schema riepilogativo che mostra in modo inequivocabilequanto detto:</w:t>
      </w:r>
    </w:p>
    <w:p w:rsidR="005C2715" w:rsidRPr="0029488E" w:rsidRDefault="00A74414" w:rsidP="00777354">
      <w:pPr>
        <w:jc w:val="both"/>
        <w:rPr>
          <w:rFonts w:ascii="Garamond" w:hAnsi="Garamond"/>
          <w:sz w:val="24"/>
          <w:szCs w:val="24"/>
        </w:rPr>
      </w:pPr>
      <w:r w:rsidRPr="0029488E">
        <w:rPr>
          <w:rFonts w:ascii="Garamond" w:hAnsi="Garamond"/>
          <w:noProof/>
          <w:sz w:val="24"/>
          <w:szCs w:val="24"/>
          <w:lang w:eastAsia="it-IT"/>
        </w:rPr>
        <w:drawing>
          <wp:inline distT="0" distB="0" distL="0" distR="0">
            <wp:extent cx="6120130" cy="1063625"/>
            <wp:effectExtent l="0" t="0" r="0" b="317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120130" cy="1063625"/>
                    </a:xfrm>
                    <a:prstGeom prst="rect">
                      <a:avLst/>
                    </a:prstGeom>
                  </pic:spPr>
                </pic:pic>
              </a:graphicData>
            </a:graphic>
          </wp:inline>
        </w:drawing>
      </w:r>
    </w:p>
    <w:p w:rsidR="00472F2F" w:rsidRPr="0029488E" w:rsidRDefault="00472F2F" w:rsidP="00777354">
      <w:pPr>
        <w:jc w:val="both"/>
        <w:rPr>
          <w:rFonts w:ascii="Garamond" w:hAnsi="Garamond"/>
          <w:sz w:val="24"/>
          <w:szCs w:val="24"/>
        </w:rPr>
      </w:pPr>
      <w:r w:rsidRPr="0029488E">
        <w:rPr>
          <w:rFonts w:ascii="Garamond" w:hAnsi="Garamond"/>
          <w:sz w:val="24"/>
          <w:szCs w:val="24"/>
        </w:rPr>
        <w:t>A questo punto possiamo anche verificare l'abbondanza della terna iniziale che, complessivamente,è di 889 unità, pari al 60% circa del campione, con la restante parte di 587 unità pari a circa il 40%</w:t>
      </w:r>
      <w:r w:rsidR="00C2253D">
        <w:rPr>
          <w:rFonts w:ascii="Garamond" w:hAnsi="Garamond"/>
          <w:sz w:val="24"/>
          <w:szCs w:val="24"/>
        </w:rPr>
        <w:t xml:space="preserve"> </w:t>
      </w:r>
      <w:r w:rsidRPr="0029488E">
        <w:rPr>
          <w:rFonts w:ascii="Garamond" w:hAnsi="Garamond"/>
          <w:sz w:val="24"/>
          <w:szCs w:val="24"/>
        </w:rPr>
        <w:t>del campione. Il gioco è fatto.</w:t>
      </w:r>
    </w:p>
    <w:p w:rsidR="00472F2F" w:rsidRPr="0029488E" w:rsidRDefault="00803E4C" w:rsidP="00777354">
      <w:pPr>
        <w:jc w:val="both"/>
        <w:rPr>
          <w:rFonts w:ascii="Garamond" w:hAnsi="Garamond"/>
          <w:sz w:val="24"/>
          <w:szCs w:val="24"/>
        </w:rPr>
      </w:pPr>
      <w:r w:rsidRPr="0029488E">
        <w:rPr>
          <w:rFonts w:ascii="Garamond" w:hAnsi="Garamond"/>
          <w:sz w:val="24"/>
          <w:szCs w:val="24"/>
        </w:rPr>
        <w:t>H</w:t>
      </w:r>
      <w:r w:rsidR="00472F2F" w:rsidRPr="0029488E">
        <w:rPr>
          <w:rFonts w:ascii="Garamond" w:hAnsi="Garamond"/>
          <w:sz w:val="24"/>
          <w:szCs w:val="24"/>
        </w:rPr>
        <w:t xml:space="preserve">o riportato i dati nel grafico che </w:t>
      </w:r>
      <w:r w:rsidR="00351295" w:rsidRPr="0029488E">
        <w:rPr>
          <w:rFonts w:ascii="Garamond" w:hAnsi="Garamond"/>
          <w:sz w:val="24"/>
          <w:szCs w:val="24"/>
        </w:rPr>
        <w:t>conferma</w:t>
      </w:r>
      <w:r w:rsidR="00472F2F" w:rsidRPr="0029488E">
        <w:rPr>
          <w:rFonts w:ascii="Garamond" w:hAnsi="Garamond"/>
          <w:sz w:val="24"/>
          <w:szCs w:val="24"/>
        </w:rPr>
        <w:t xml:space="preserve"> la </w:t>
      </w:r>
      <w:r w:rsidR="0078159B" w:rsidRPr="0029488E">
        <w:rPr>
          <w:rFonts w:ascii="Garamond" w:hAnsi="Garamond"/>
          <w:sz w:val="24"/>
          <w:szCs w:val="24"/>
        </w:rPr>
        <w:t xml:space="preserve">quasi perfetta aderenza dei dati osservati (Fibonacci, in </w:t>
      </w:r>
      <w:r w:rsidR="00351295" w:rsidRPr="0029488E">
        <w:rPr>
          <w:rFonts w:ascii="Garamond" w:hAnsi="Garamond"/>
          <w:sz w:val="24"/>
          <w:szCs w:val="24"/>
        </w:rPr>
        <w:t>arancione</w:t>
      </w:r>
      <w:r w:rsidR="0078159B" w:rsidRPr="0029488E">
        <w:rPr>
          <w:rFonts w:ascii="Garamond" w:hAnsi="Garamond"/>
          <w:sz w:val="24"/>
          <w:szCs w:val="24"/>
        </w:rPr>
        <w:t xml:space="preserve">) con quelli attesi (Benford, in </w:t>
      </w:r>
      <w:r w:rsidR="00351295" w:rsidRPr="0029488E">
        <w:rPr>
          <w:rFonts w:ascii="Garamond" w:hAnsi="Garamond"/>
          <w:sz w:val="24"/>
          <w:szCs w:val="24"/>
        </w:rPr>
        <w:t>grigio</w:t>
      </w:r>
      <w:r w:rsidR="0078159B" w:rsidRPr="0029488E">
        <w:rPr>
          <w:rFonts w:ascii="Garamond" w:hAnsi="Garamond"/>
          <w:sz w:val="24"/>
          <w:szCs w:val="24"/>
        </w:rPr>
        <w:t>)</w:t>
      </w:r>
      <w:r w:rsidR="00472F2F" w:rsidRPr="0029488E">
        <w:rPr>
          <w:rFonts w:ascii="Garamond" w:hAnsi="Garamond"/>
          <w:sz w:val="24"/>
          <w:szCs w:val="24"/>
        </w:rPr>
        <w:t>.</w:t>
      </w:r>
    </w:p>
    <w:p w:rsidR="0078159B" w:rsidRPr="0029488E" w:rsidRDefault="005C2715" w:rsidP="0078159B">
      <w:pPr>
        <w:jc w:val="center"/>
        <w:rPr>
          <w:rFonts w:ascii="Garamond" w:hAnsi="Garamond"/>
          <w:sz w:val="24"/>
          <w:szCs w:val="24"/>
        </w:rPr>
      </w:pPr>
      <w:r w:rsidRPr="0029488E">
        <w:rPr>
          <w:rFonts w:ascii="Garamond" w:hAnsi="Garamond"/>
          <w:noProof/>
          <w:sz w:val="24"/>
          <w:szCs w:val="24"/>
          <w:lang w:eastAsia="it-IT"/>
        </w:rPr>
        <w:lastRenderedPageBreak/>
        <w:drawing>
          <wp:inline distT="0" distB="0" distL="0" distR="0">
            <wp:extent cx="3990975" cy="2266950"/>
            <wp:effectExtent l="0" t="0" r="0" b="0"/>
            <wp:docPr id="13" name="Grafico 1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F9E4997-1F74-1107-EF9D-0E6840DE8D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932EB" w:rsidRPr="0029488E" w:rsidRDefault="0078159B" w:rsidP="00071B1E">
      <w:pPr>
        <w:jc w:val="both"/>
        <w:rPr>
          <w:rFonts w:ascii="Garamond" w:hAnsi="Garamond"/>
          <w:sz w:val="24"/>
          <w:szCs w:val="24"/>
        </w:rPr>
      </w:pPr>
      <w:r w:rsidRPr="0029488E">
        <w:rPr>
          <w:rFonts w:ascii="Garamond" w:hAnsi="Garamond"/>
          <w:sz w:val="24"/>
          <w:szCs w:val="24"/>
        </w:rPr>
        <w:t>Per puro divertimento, ho anche tracciato la curva con</w:t>
      </w:r>
      <w:r w:rsidR="007932EB" w:rsidRPr="0029488E">
        <w:rPr>
          <w:rFonts w:ascii="Garamond" w:hAnsi="Garamond"/>
          <w:sz w:val="24"/>
          <w:szCs w:val="24"/>
        </w:rPr>
        <w:t xml:space="preserve"> la funzione </w:t>
      </w:r>
      <w:r w:rsidR="0013493E" w:rsidRPr="0029488E">
        <w:rPr>
          <w:rFonts w:ascii="Garamond" w:hAnsi="Garamond"/>
          <w:sz w:val="24"/>
          <w:szCs w:val="24"/>
        </w:rPr>
        <w:t>di potenza,</w:t>
      </w:r>
      <w:r w:rsidR="007932EB" w:rsidRPr="0029488E">
        <w:rPr>
          <w:rFonts w:ascii="Garamond" w:hAnsi="Garamond"/>
          <w:sz w:val="24"/>
          <w:szCs w:val="24"/>
        </w:rPr>
        <w:t xml:space="preserve"> dalla quale si nota la quasi perfetta sovrapposizione </w:t>
      </w:r>
      <w:r w:rsidR="0013493E" w:rsidRPr="0029488E">
        <w:rPr>
          <w:rFonts w:ascii="Garamond" w:hAnsi="Garamond"/>
          <w:sz w:val="24"/>
          <w:szCs w:val="24"/>
        </w:rPr>
        <w:t>con R</w:t>
      </w:r>
      <w:r w:rsidR="0013493E" w:rsidRPr="0029488E">
        <w:rPr>
          <w:rFonts w:ascii="Garamond" w:hAnsi="Garamond"/>
          <w:sz w:val="24"/>
          <w:szCs w:val="24"/>
          <w:vertAlign w:val="superscript"/>
        </w:rPr>
        <w:t>2</w:t>
      </w:r>
      <w:r w:rsidR="0013493E" w:rsidRPr="0029488E">
        <w:rPr>
          <w:rFonts w:ascii="Garamond" w:hAnsi="Garamond"/>
          <w:sz w:val="24"/>
          <w:szCs w:val="24"/>
        </w:rPr>
        <w:t>prossimo all’unità</w:t>
      </w:r>
    </w:p>
    <w:p w:rsidR="007932EB" w:rsidRPr="0029488E" w:rsidRDefault="007932EB" w:rsidP="007932EB">
      <w:pPr>
        <w:jc w:val="center"/>
        <w:rPr>
          <w:rFonts w:ascii="Garamond" w:hAnsi="Garamond"/>
          <w:sz w:val="24"/>
          <w:szCs w:val="24"/>
        </w:rPr>
      </w:pPr>
      <w:r w:rsidRPr="0029488E">
        <w:rPr>
          <w:rFonts w:ascii="Garamond" w:hAnsi="Garamond"/>
          <w:noProof/>
          <w:sz w:val="24"/>
          <w:szCs w:val="24"/>
          <w:lang w:eastAsia="it-IT"/>
        </w:rPr>
        <w:drawing>
          <wp:inline distT="0" distB="0" distL="0" distR="0">
            <wp:extent cx="4572000" cy="2743200"/>
            <wp:effectExtent l="0" t="0" r="0" b="0"/>
            <wp:docPr id="11" name="Grafico 1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D84821F-3470-4E6E-8A33-DBA40F82D1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932EB" w:rsidRPr="0029488E" w:rsidRDefault="007932EB" w:rsidP="00071B1E">
      <w:pPr>
        <w:jc w:val="both"/>
        <w:rPr>
          <w:rFonts w:ascii="Garamond" w:hAnsi="Garamond"/>
          <w:sz w:val="24"/>
          <w:szCs w:val="24"/>
        </w:rPr>
      </w:pPr>
    </w:p>
    <w:p w:rsidR="00071B1E" w:rsidRPr="0029488E" w:rsidRDefault="00071B1E" w:rsidP="00071B1E">
      <w:pPr>
        <w:jc w:val="both"/>
        <w:rPr>
          <w:rFonts w:ascii="Garamond" w:hAnsi="Garamond"/>
          <w:sz w:val="24"/>
          <w:szCs w:val="24"/>
        </w:rPr>
      </w:pPr>
      <w:r w:rsidRPr="0029488E">
        <w:rPr>
          <w:rFonts w:ascii="Garamond" w:hAnsi="Garamond"/>
          <w:sz w:val="24"/>
          <w:szCs w:val="24"/>
        </w:rPr>
        <w:t xml:space="preserve">Ho provato anche a fare un’analisi dei dati statistici da cui </w:t>
      </w:r>
      <w:r w:rsidR="00A8326C" w:rsidRPr="0029488E">
        <w:rPr>
          <w:rFonts w:ascii="Garamond" w:hAnsi="Garamond"/>
          <w:sz w:val="24"/>
          <w:szCs w:val="24"/>
        </w:rPr>
        <w:t xml:space="preserve">risulta </w:t>
      </w:r>
      <w:r w:rsidRPr="0029488E">
        <w:rPr>
          <w:rFonts w:ascii="Garamond" w:hAnsi="Garamond"/>
          <w:sz w:val="24"/>
          <w:szCs w:val="24"/>
        </w:rPr>
        <w:t xml:space="preserve">la </w:t>
      </w:r>
      <w:r w:rsidR="00A8326C" w:rsidRPr="0029488E">
        <w:rPr>
          <w:rFonts w:ascii="Garamond" w:hAnsi="Garamond"/>
          <w:sz w:val="24"/>
          <w:szCs w:val="24"/>
        </w:rPr>
        <w:t xml:space="preserve">seguente </w:t>
      </w:r>
      <w:r w:rsidRPr="0029488E">
        <w:rPr>
          <w:rFonts w:ascii="Garamond" w:hAnsi="Garamond"/>
          <w:sz w:val="24"/>
          <w:szCs w:val="24"/>
        </w:rPr>
        <w:t xml:space="preserve">distribuzione normale gaussiana </w:t>
      </w:r>
      <w:r w:rsidR="00A8326C" w:rsidRPr="0029488E">
        <w:rPr>
          <w:rFonts w:ascii="Garamond" w:hAnsi="Garamond"/>
          <w:sz w:val="24"/>
          <w:szCs w:val="24"/>
        </w:rPr>
        <w:t>(ho convertito i valori assoluti della serie in logaritmi in base 10</w:t>
      </w:r>
      <w:r w:rsidR="0016543A" w:rsidRPr="0029488E">
        <w:rPr>
          <w:rFonts w:ascii="Garamond" w:hAnsi="Garamond"/>
          <w:sz w:val="24"/>
          <w:szCs w:val="24"/>
        </w:rPr>
        <w:t>)</w:t>
      </w:r>
    </w:p>
    <w:p w:rsidR="00A43398" w:rsidRPr="0029488E" w:rsidRDefault="00A43398" w:rsidP="00071B1E">
      <w:pPr>
        <w:jc w:val="both"/>
        <w:rPr>
          <w:rFonts w:ascii="Garamond" w:hAnsi="Garamond"/>
          <w:sz w:val="24"/>
          <w:szCs w:val="24"/>
        </w:rPr>
      </w:pPr>
      <w:r w:rsidRPr="0029488E">
        <w:rPr>
          <w:rFonts w:ascii="Garamond" w:hAnsi="Garamond"/>
          <w:sz w:val="24"/>
          <w:szCs w:val="24"/>
        </w:rPr>
        <w:t>Media: 2.131654</w:t>
      </w:r>
    </w:p>
    <w:p w:rsidR="00A43398" w:rsidRPr="0029488E" w:rsidRDefault="00A43398" w:rsidP="00071B1E">
      <w:pPr>
        <w:jc w:val="both"/>
        <w:rPr>
          <w:rFonts w:ascii="Garamond" w:hAnsi="Garamond"/>
          <w:sz w:val="24"/>
          <w:szCs w:val="24"/>
        </w:rPr>
      </w:pPr>
      <w:r w:rsidRPr="0029488E">
        <w:rPr>
          <w:rFonts w:ascii="Garamond" w:hAnsi="Garamond"/>
          <w:sz w:val="24"/>
          <w:szCs w:val="24"/>
        </w:rPr>
        <w:t>Dev. St.: 0.254663</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39"/>
        <w:gridCol w:w="6089"/>
      </w:tblGrid>
      <w:tr w:rsidR="00A8326C" w:rsidRPr="0029488E" w:rsidTr="0016543A">
        <w:trPr>
          <w:jc w:val="center"/>
        </w:trPr>
        <w:tc>
          <w:tcPr>
            <w:tcW w:w="3539" w:type="dxa"/>
            <w:vAlign w:val="center"/>
          </w:tcPr>
          <w:tbl>
            <w:tblPr>
              <w:tblW w:w="3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60"/>
              <w:gridCol w:w="976"/>
              <w:gridCol w:w="1325"/>
            </w:tblGrid>
            <w:tr w:rsidR="00A8326C" w:rsidRPr="0029488E" w:rsidTr="0016543A">
              <w:trPr>
                <w:trHeight w:val="300"/>
                <w:jc w:val="center"/>
              </w:trPr>
              <w:tc>
                <w:tcPr>
                  <w:tcW w:w="960" w:type="dxa"/>
                  <w:shd w:val="clear" w:color="auto" w:fill="auto"/>
                  <w:noWrap/>
                  <w:vAlign w:val="center"/>
                </w:tcPr>
                <w:p w:rsidR="00A8326C" w:rsidRPr="0029488E" w:rsidRDefault="00A8326C" w:rsidP="0016543A">
                  <w:pPr>
                    <w:spacing w:after="0" w:line="240" w:lineRule="auto"/>
                    <w:jc w:val="center"/>
                    <w:rPr>
                      <w:rFonts w:ascii="Garamond" w:eastAsia="Times New Roman" w:hAnsi="Garamond" w:cs="Calibri"/>
                      <w:color w:val="C65911"/>
                      <w:sz w:val="24"/>
                      <w:szCs w:val="24"/>
                      <w:lang w:eastAsia="it-IT"/>
                    </w:rPr>
                  </w:pPr>
                  <w:r w:rsidRPr="0029488E">
                    <w:rPr>
                      <w:rFonts w:ascii="Garamond" w:eastAsia="Times New Roman" w:hAnsi="Garamond" w:cs="Calibri"/>
                      <w:color w:val="C65911"/>
                      <w:sz w:val="24"/>
                      <w:szCs w:val="24"/>
                      <w:lang w:eastAsia="it-IT"/>
                    </w:rPr>
                    <w:lastRenderedPageBreak/>
                    <w:t>F(n)</w:t>
                  </w:r>
                </w:p>
              </w:tc>
              <w:tc>
                <w:tcPr>
                  <w:tcW w:w="976" w:type="dxa"/>
                  <w:shd w:val="clear" w:color="auto" w:fill="auto"/>
                  <w:noWrap/>
                  <w:vAlign w:val="center"/>
                </w:tcPr>
                <w:p w:rsidR="00A8326C" w:rsidRPr="0029488E" w:rsidRDefault="00A8326C" w:rsidP="0016543A">
                  <w:pPr>
                    <w:spacing w:after="0" w:line="240" w:lineRule="auto"/>
                    <w:jc w:val="center"/>
                    <w:rPr>
                      <w:rFonts w:ascii="Garamond" w:eastAsia="Times New Roman" w:hAnsi="Garamond" w:cs="Calibri"/>
                      <w:color w:val="000000"/>
                      <w:sz w:val="24"/>
                      <w:szCs w:val="24"/>
                      <w:lang w:eastAsia="it-IT"/>
                    </w:rPr>
                  </w:pPr>
                  <w:r w:rsidRPr="0029488E">
                    <w:rPr>
                      <w:rFonts w:ascii="Garamond" w:eastAsia="Times New Roman" w:hAnsi="Garamond" w:cs="Calibri"/>
                      <w:color w:val="000000"/>
                      <w:sz w:val="24"/>
                      <w:szCs w:val="24"/>
                      <w:lang w:eastAsia="it-IT"/>
                    </w:rPr>
                    <w:t>Log</w:t>
                  </w:r>
                  <w:r w:rsidRPr="0029488E">
                    <w:rPr>
                      <w:rFonts w:ascii="Garamond" w:eastAsia="Times New Roman" w:hAnsi="Garamond" w:cs="Calibri"/>
                      <w:color w:val="000000"/>
                      <w:sz w:val="24"/>
                      <w:szCs w:val="24"/>
                      <w:vertAlign w:val="subscript"/>
                      <w:lang w:eastAsia="it-IT"/>
                    </w:rPr>
                    <w:t>10</w:t>
                  </w:r>
                </w:p>
              </w:tc>
              <w:tc>
                <w:tcPr>
                  <w:tcW w:w="1325" w:type="dxa"/>
                  <w:shd w:val="clear" w:color="auto" w:fill="auto"/>
                  <w:noWrap/>
                  <w:vAlign w:val="center"/>
                </w:tcPr>
                <w:p w:rsidR="00A8326C" w:rsidRPr="0029488E" w:rsidRDefault="00A8326C" w:rsidP="0016543A">
                  <w:pPr>
                    <w:spacing w:after="0" w:line="240" w:lineRule="auto"/>
                    <w:jc w:val="center"/>
                    <w:rPr>
                      <w:rFonts w:ascii="Garamond" w:eastAsia="Times New Roman" w:hAnsi="Garamond" w:cs="Calibri"/>
                      <w:color w:val="000000"/>
                      <w:sz w:val="24"/>
                      <w:szCs w:val="24"/>
                      <w:lang w:eastAsia="it-IT"/>
                    </w:rPr>
                  </w:pPr>
                  <w:r w:rsidRPr="0029488E">
                    <w:rPr>
                      <w:rFonts w:ascii="Garamond" w:eastAsia="Times New Roman" w:hAnsi="Garamond" w:cs="Calibri"/>
                      <w:color w:val="000000"/>
                      <w:sz w:val="24"/>
                      <w:szCs w:val="24"/>
                      <w:lang w:eastAsia="it-IT"/>
                    </w:rPr>
                    <w:t>Distr. Norm.</w:t>
                  </w:r>
                </w:p>
              </w:tc>
            </w:tr>
            <w:tr w:rsidR="00A8326C" w:rsidRPr="0029488E" w:rsidTr="00A8326C">
              <w:trPr>
                <w:trHeight w:val="300"/>
                <w:jc w:val="center"/>
              </w:trPr>
              <w:tc>
                <w:tcPr>
                  <w:tcW w:w="960" w:type="dxa"/>
                  <w:shd w:val="clear" w:color="auto" w:fill="auto"/>
                  <w:noWrap/>
                  <w:vAlign w:val="bottom"/>
                  <w:hideMark/>
                </w:tcPr>
                <w:p w:rsidR="00A8326C" w:rsidRPr="0029488E" w:rsidRDefault="00A8326C" w:rsidP="00A8326C">
                  <w:pPr>
                    <w:spacing w:after="0" w:line="240" w:lineRule="auto"/>
                    <w:jc w:val="center"/>
                    <w:rPr>
                      <w:rFonts w:ascii="Garamond" w:eastAsia="Times New Roman" w:hAnsi="Garamond" w:cs="Calibri"/>
                      <w:color w:val="C65911"/>
                      <w:sz w:val="24"/>
                      <w:szCs w:val="24"/>
                      <w:lang w:eastAsia="it-IT"/>
                    </w:rPr>
                  </w:pPr>
                  <w:r w:rsidRPr="0029488E">
                    <w:rPr>
                      <w:rFonts w:ascii="Garamond" w:eastAsia="Times New Roman" w:hAnsi="Garamond" w:cs="Calibri"/>
                      <w:color w:val="C65911"/>
                      <w:sz w:val="24"/>
                      <w:szCs w:val="24"/>
                      <w:lang w:eastAsia="it-IT"/>
                    </w:rPr>
                    <w:t>445</w:t>
                  </w:r>
                </w:p>
              </w:tc>
              <w:tc>
                <w:tcPr>
                  <w:tcW w:w="976" w:type="dxa"/>
                  <w:shd w:val="clear" w:color="auto" w:fill="auto"/>
                  <w:noWrap/>
                  <w:vAlign w:val="bottom"/>
                  <w:hideMark/>
                </w:tcPr>
                <w:p w:rsidR="00A8326C" w:rsidRPr="0029488E" w:rsidRDefault="00A8326C" w:rsidP="00A8326C">
                  <w:pPr>
                    <w:spacing w:after="0" w:line="240" w:lineRule="auto"/>
                    <w:jc w:val="right"/>
                    <w:rPr>
                      <w:rFonts w:ascii="Garamond" w:eastAsia="Times New Roman" w:hAnsi="Garamond" w:cs="Calibri"/>
                      <w:color w:val="000000"/>
                      <w:sz w:val="24"/>
                      <w:szCs w:val="24"/>
                      <w:lang w:eastAsia="it-IT"/>
                    </w:rPr>
                  </w:pPr>
                  <w:r w:rsidRPr="0029488E">
                    <w:rPr>
                      <w:rFonts w:ascii="Garamond" w:eastAsia="Times New Roman" w:hAnsi="Garamond" w:cs="Calibri"/>
                      <w:color w:val="000000"/>
                      <w:sz w:val="24"/>
                      <w:szCs w:val="24"/>
                      <w:lang w:eastAsia="it-IT"/>
                    </w:rPr>
                    <w:t>2,64836</w:t>
                  </w:r>
                </w:p>
              </w:tc>
              <w:tc>
                <w:tcPr>
                  <w:tcW w:w="1325" w:type="dxa"/>
                  <w:shd w:val="clear" w:color="auto" w:fill="auto"/>
                  <w:noWrap/>
                  <w:vAlign w:val="bottom"/>
                  <w:hideMark/>
                </w:tcPr>
                <w:p w:rsidR="00A8326C" w:rsidRPr="0029488E" w:rsidRDefault="00A8326C" w:rsidP="00A8326C">
                  <w:pPr>
                    <w:spacing w:after="0" w:line="240" w:lineRule="auto"/>
                    <w:jc w:val="right"/>
                    <w:rPr>
                      <w:rFonts w:ascii="Garamond" w:eastAsia="Times New Roman" w:hAnsi="Garamond" w:cs="Calibri"/>
                      <w:color w:val="000000"/>
                      <w:sz w:val="24"/>
                      <w:szCs w:val="24"/>
                      <w:lang w:eastAsia="it-IT"/>
                    </w:rPr>
                  </w:pPr>
                  <w:r w:rsidRPr="0029488E">
                    <w:rPr>
                      <w:rFonts w:ascii="Garamond" w:eastAsia="Times New Roman" w:hAnsi="Garamond" w:cs="Calibri"/>
                      <w:color w:val="000000"/>
                      <w:sz w:val="24"/>
                      <w:szCs w:val="24"/>
                      <w:lang w:eastAsia="it-IT"/>
                    </w:rPr>
                    <w:t>0,199987</w:t>
                  </w:r>
                </w:p>
              </w:tc>
            </w:tr>
            <w:tr w:rsidR="00A8326C" w:rsidRPr="0029488E" w:rsidTr="00A8326C">
              <w:trPr>
                <w:trHeight w:val="300"/>
                <w:jc w:val="center"/>
              </w:trPr>
              <w:tc>
                <w:tcPr>
                  <w:tcW w:w="960" w:type="dxa"/>
                  <w:shd w:val="clear" w:color="auto" w:fill="auto"/>
                  <w:noWrap/>
                  <w:vAlign w:val="bottom"/>
                  <w:hideMark/>
                </w:tcPr>
                <w:p w:rsidR="00A8326C" w:rsidRPr="0029488E" w:rsidRDefault="00A8326C" w:rsidP="00A8326C">
                  <w:pPr>
                    <w:spacing w:after="0" w:line="240" w:lineRule="auto"/>
                    <w:jc w:val="center"/>
                    <w:rPr>
                      <w:rFonts w:ascii="Garamond" w:eastAsia="Times New Roman" w:hAnsi="Garamond" w:cs="Calibri"/>
                      <w:color w:val="C65911"/>
                      <w:sz w:val="24"/>
                      <w:szCs w:val="24"/>
                      <w:lang w:eastAsia="it-IT"/>
                    </w:rPr>
                  </w:pPr>
                  <w:r w:rsidRPr="0029488E">
                    <w:rPr>
                      <w:rFonts w:ascii="Garamond" w:eastAsia="Times New Roman" w:hAnsi="Garamond" w:cs="Calibri"/>
                      <w:color w:val="C65911"/>
                      <w:sz w:val="24"/>
                      <w:szCs w:val="24"/>
                      <w:lang w:eastAsia="it-IT"/>
                    </w:rPr>
                    <w:t>260</w:t>
                  </w:r>
                </w:p>
              </w:tc>
              <w:tc>
                <w:tcPr>
                  <w:tcW w:w="976" w:type="dxa"/>
                  <w:shd w:val="clear" w:color="auto" w:fill="auto"/>
                  <w:noWrap/>
                  <w:vAlign w:val="bottom"/>
                  <w:hideMark/>
                </w:tcPr>
                <w:p w:rsidR="00A8326C" w:rsidRPr="0029488E" w:rsidRDefault="00A8326C" w:rsidP="00A8326C">
                  <w:pPr>
                    <w:spacing w:after="0" w:line="240" w:lineRule="auto"/>
                    <w:jc w:val="right"/>
                    <w:rPr>
                      <w:rFonts w:ascii="Garamond" w:eastAsia="Times New Roman" w:hAnsi="Garamond" w:cs="Calibri"/>
                      <w:color w:val="000000"/>
                      <w:sz w:val="24"/>
                      <w:szCs w:val="24"/>
                      <w:lang w:eastAsia="it-IT"/>
                    </w:rPr>
                  </w:pPr>
                  <w:r w:rsidRPr="0029488E">
                    <w:rPr>
                      <w:rFonts w:ascii="Garamond" w:eastAsia="Times New Roman" w:hAnsi="Garamond" w:cs="Calibri"/>
                      <w:color w:val="000000"/>
                      <w:sz w:val="24"/>
                      <w:szCs w:val="24"/>
                      <w:lang w:eastAsia="it-IT"/>
                    </w:rPr>
                    <w:t>2,41493</w:t>
                  </w:r>
                </w:p>
              </w:tc>
              <w:tc>
                <w:tcPr>
                  <w:tcW w:w="1325" w:type="dxa"/>
                  <w:shd w:val="clear" w:color="auto" w:fill="auto"/>
                  <w:noWrap/>
                  <w:vAlign w:val="bottom"/>
                  <w:hideMark/>
                </w:tcPr>
                <w:p w:rsidR="00A8326C" w:rsidRPr="0029488E" w:rsidRDefault="00A8326C" w:rsidP="00A8326C">
                  <w:pPr>
                    <w:spacing w:after="0" w:line="240" w:lineRule="auto"/>
                    <w:jc w:val="right"/>
                    <w:rPr>
                      <w:rFonts w:ascii="Garamond" w:eastAsia="Times New Roman" w:hAnsi="Garamond" w:cs="Calibri"/>
                      <w:color w:val="000000"/>
                      <w:sz w:val="24"/>
                      <w:szCs w:val="24"/>
                      <w:lang w:eastAsia="it-IT"/>
                    </w:rPr>
                  </w:pPr>
                  <w:r w:rsidRPr="0029488E">
                    <w:rPr>
                      <w:rFonts w:ascii="Garamond" w:eastAsia="Times New Roman" w:hAnsi="Garamond" w:cs="Calibri"/>
                      <w:color w:val="000000"/>
                      <w:sz w:val="24"/>
                      <w:szCs w:val="24"/>
                      <w:lang w:eastAsia="it-IT"/>
                    </w:rPr>
                    <w:t>0,843679</w:t>
                  </w:r>
                </w:p>
              </w:tc>
            </w:tr>
            <w:tr w:rsidR="00A8326C" w:rsidRPr="0029488E" w:rsidTr="00A8326C">
              <w:trPr>
                <w:trHeight w:val="300"/>
                <w:jc w:val="center"/>
              </w:trPr>
              <w:tc>
                <w:tcPr>
                  <w:tcW w:w="960" w:type="dxa"/>
                  <w:shd w:val="clear" w:color="auto" w:fill="auto"/>
                  <w:noWrap/>
                  <w:vAlign w:val="bottom"/>
                  <w:hideMark/>
                </w:tcPr>
                <w:p w:rsidR="00A8326C" w:rsidRPr="0029488E" w:rsidRDefault="00A8326C" w:rsidP="00A8326C">
                  <w:pPr>
                    <w:spacing w:after="0" w:line="240" w:lineRule="auto"/>
                    <w:jc w:val="center"/>
                    <w:rPr>
                      <w:rFonts w:ascii="Garamond" w:eastAsia="Times New Roman" w:hAnsi="Garamond" w:cs="Calibri"/>
                      <w:color w:val="C65911"/>
                      <w:sz w:val="24"/>
                      <w:szCs w:val="24"/>
                      <w:lang w:eastAsia="it-IT"/>
                    </w:rPr>
                  </w:pPr>
                  <w:r w:rsidRPr="0029488E">
                    <w:rPr>
                      <w:rFonts w:ascii="Garamond" w:eastAsia="Times New Roman" w:hAnsi="Garamond" w:cs="Calibri"/>
                      <w:color w:val="C65911"/>
                      <w:sz w:val="24"/>
                      <w:szCs w:val="24"/>
                      <w:lang w:eastAsia="it-IT"/>
                    </w:rPr>
                    <w:t>184</w:t>
                  </w:r>
                </w:p>
              </w:tc>
              <w:tc>
                <w:tcPr>
                  <w:tcW w:w="976" w:type="dxa"/>
                  <w:shd w:val="clear" w:color="auto" w:fill="auto"/>
                  <w:noWrap/>
                  <w:vAlign w:val="bottom"/>
                  <w:hideMark/>
                </w:tcPr>
                <w:p w:rsidR="00A8326C" w:rsidRPr="0029488E" w:rsidRDefault="00A8326C" w:rsidP="00A8326C">
                  <w:pPr>
                    <w:spacing w:after="0" w:line="240" w:lineRule="auto"/>
                    <w:jc w:val="right"/>
                    <w:rPr>
                      <w:rFonts w:ascii="Garamond" w:eastAsia="Times New Roman" w:hAnsi="Garamond" w:cs="Calibri"/>
                      <w:color w:val="000000"/>
                      <w:sz w:val="24"/>
                      <w:szCs w:val="24"/>
                      <w:lang w:eastAsia="it-IT"/>
                    </w:rPr>
                  </w:pPr>
                  <w:r w:rsidRPr="0029488E">
                    <w:rPr>
                      <w:rFonts w:ascii="Garamond" w:eastAsia="Times New Roman" w:hAnsi="Garamond" w:cs="Calibri"/>
                      <w:color w:val="000000"/>
                      <w:sz w:val="24"/>
                      <w:szCs w:val="24"/>
                      <w:lang w:eastAsia="it-IT"/>
                    </w:rPr>
                    <w:t>2,26481</w:t>
                  </w:r>
                </w:p>
              </w:tc>
              <w:tc>
                <w:tcPr>
                  <w:tcW w:w="1325" w:type="dxa"/>
                  <w:shd w:val="clear" w:color="auto" w:fill="auto"/>
                  <w:noWrap/>
                  <w:vAlign w:val="bottom"/>
                  <w:hideMark/>
                </w:tcPr>
                <w:p w:rsidR="00A8326C" w:rsidRPr="0029488E" w:rsidRDefault="00A8326C" w:rsidP="00A8326C">
                  <w:pPr>
                    <w:spacing w:after="0" w:line="240" w:lineRule="auto"/>
                    <w:jc w:val="right"/>
                    <w:rPr>
                      <w:rFonts w:ascii="Garamond" w:eastAsia="Times New Roman" w:hAnsi="Garamond" w:cs="Calibri"/>
                      <w:color w:val="000000"/>
                      <w:sz w:val="24"/>
                      <w:szCs w:val="24"/>
                      <w:lang w:eastAsia="it-IT"/>
                    </w:rPr>
                  </w:pPr>
                  <w:r w:rsidRPr="0029488E">
                    <w:rPr>
                      <w:rFonts w:ascii="Garamond" w:eastAsia="Times New Roman" w:hAnsi="Garamond" w:cs="Calibri"/>
                      <w:color w:val="000000"/>
                      <w:sz w:val="24"/>
                      <w:szCs w:val="24"/>
                      <w:lang w:eastAsia="it-IT"/>
                    </w:rPr>
                    <w:t>1,366376</w:t>
                  </w:r>
                </w:p>
              </w:tc>
            </w:tr>
            <w:tr w:rsidR="00A8326C" w:rsidRPr="0029488E" w:rsidTr="00A8326C">
              <w:trPr>
                <w:trHeight w:val="300"/>
                <w:jc w:val="center"/>
              </w:trPr>
              <w:tc>
                <w:tcPr>
                  <w:tcW w:w="960" w:type="dxa"/>
                  <w:shd w:val="clear" w:color="auto" w:fill="auto"/>
                  <w:noWrap/>
                  <w:vAlign w:val="bottom"/>
                  <w:hideMark/>
                </w:tcPr>
                <w:p w:rsidR="00A8326C" w:rsidRPr="0029488E" w:rsidRDefault="00A8326C" w:rsidP="00A8326C">
                  <w:pPr>
                    <w:spacing w:after="0" w:line="240" w:lineRule="auto"/>
                    <w:jc w:val="center"/>
                    <w:rPr>
                      <w:rFonts w:ascii="Garamond" w:eastAsia="Times New Roman" w:hAnsi="Garamond" w:cs="Calibri"/>
                      <w:color w:val="C65911"/>
                      <w:sz w:val="24"/>
                      <w:szCs w:val="24"/>
                      <w:lang w:eastAsia="it-IT"/>
                    </w:rPr>
                  </w:pPr>
                  <w:r w:rsidRPr="0029488E">
                    <w:rPr>
                      <w:rFonts w:ascii="Garamond" w:eastAsia="Times New Roman" w:hAnsi="Garamond" w:cs="Calibri"/>
                      <w:color w:val="C65911"/>
                      <w:sz w:val="24"/>
                      <w:szCs w:val="24"/>
                      <w:lang w:eastAsia="it-IT"/>
                    </w:rPr>
                    <w:t>143</w:t>
                  </w:r>
                </w:p>
              </w:tc>
              <w:tc>
                <w:tcPr>
                  <w:tcW w:w="976" w:type="dxa"/>
                  <w:shd w:val="clear" w:color="auto" w:fill="auto"/>
                  <w:noWrap/>
                  <w:vAlign w:val="bottom"/>
                  <w:hideMark/>
                </w:tcPr>
                <w:p w:rsidR="00A8326C" w:rsidRPr="0029488E" w:rsidRDefault="00A8326C" w:rsidP="00A8326C">
                  <w:pPr>
                    <w:spacing w:after="0" w:line="240" w:lineRule="auto"/>
                    <w:jc w:val="right"/>
                    <w:rPr>
                      <w:rFonts w:ascii="Garamond" w:eastAsia="Times New Roman" w:hAnsi="Garamond" w:cs="Calibri"/>
                      <w:color w:val="000000"/>
                      <w:sz w:val="24"/>
                      <w:szCs w:val="24"/>
                      <w:lang w:eastAsia="it-IT"/>
                    </w:rPr>
                  </w:pPr>
                  <w:r w:rsidRPr="0029488E">
                    <w:rPr>
                      <w:rFonts w:ascii="Garamond" w:eastAsia="Times New Roman" w:hAnsi="Garamond" w:cs="Calibri"/>
                      <w:color w:val="000000"/>
                      <w:sz w:val="24"/>
                      <w:szCs w:val="24"/>
                      <w:lang w:eastAsia="it-IT"/>
                    </w:rPr>
                    <w:t>2,15533</w:t>
                  </w:r>
                </w:p>
              </w:tc>
              <w:tc>
                <w:tcPr>
                  <w:tcW w:w="1325" w:type="dxa"/>
                  <w:shd w:val="clear" w:color="auto" w:fill="auto"/>
                  <w:noWrap/>
                  <w:vAlign w:val="bottom"/>
                  <w:hideMark/>
                </w:tcPr>
                <w:p w:rsidR="00A8326C" w:rsidRPr="0029488E" w:rsidRDefault="00A8326C" w:rsidP="00A8326C">
                  <w:pPr>
                    <w:spacing w:after="0" w:line="240" w:lineRule="auto"/>
                    <w:jc w:val="right"/>
                    <w:rPr>
                      <w:rFonts w:ascii="Garamond" w:eastAsia="Times New Roman" w:hAnsi="Garamond" w:cs="Calibri"/>
                      <w:color w:val="000000"/>
                      <w:sz w:val="24"/>
                      <w:szCs w:val="24"/>
                      <w:lang w:eastAsia="it-IT"/>
                    </w:rPr>
                  </w:pPr>
                  <w:r w:rsidRPr="0029488E">
                    <w:rPr>
                      <w:rFonts w:ascii="Garamond" w:eastAsia="Times New Roman" w:hAnsi="Garamond" w:cs="Calibri"/>
                      <w:color w:val="000000"/>
                      <w:sz w:val="24"/>
                      <w:szCs w:val="24"/>
                      <w:lang w:eastAsia="it-IT"/>
                    </w:rPr>
                    <w:t>1,559791</w:t>
                  </w:r>
                </w:p>
              </w:tc>
            </w:tr>
            <w:tr w:rsidR="00A8326C" w:rsidRPr="0029488E" w:rsidTr="00A8326C">
              <w:trPr>
                <w:trHeight w:val="300"/>
                <w:jc w:val="center"/>
              </w:trPr>
              <w:tc>
                <w:tcPr>
                  <w:tcW w:w="960" w:type="dxa"/>
                  <w:shd w:val="clear" w:color="auto" w:fill="auto"/>
                  <w:noWrap/>
                  <w:vAlign w:val="bottom"/>
                  <w:hideMark/>
                </w:tcPr>
                <w:p w:rsidR="00A8326C" w:rsidRPr="0029488E" w:rsidRDefault="00A8326C" w:rsidP="00A8326C">
                  <w:pPr>
                    <w:spacing w:after="0" w:line="240" w:lineRule="auto"/>
                    <w:jc w:val="center"/>
                    <w:rPr>
                      <w:rFonts w:ascii="Garamond" w:eastAsia="Times New Roman" w:hAnsi="Garamond" w:cs="Calibri"/>
                      <w:color w:val="C65911"/>
                      <w:sz w:val="24"/>
                      <w:szCs w:val="24"/>
                      <w:lang w:eastAsia="it-IT"/>
                    </w:rPr>
                  </w:pPr>
                  <w:r w:rsidRPr="0029488E">
                    <w:rPr>
                      <w:rFonts w:ascii="Garamond" w:eastAsia="Times New Roman" w:hAnsi="Garamond" w:cs="Calibri"/>
                      <w:color w:val="C65911"/>
                      <w:sz w:val="24"/>
                      <w:szCs w:val="24"/>
                      <w:lang w:eastAsia="it-IT"/>
                    </w:rPr>
                    <w:t>117</w:t>
                  </w:r>
                </w:p>
              </w:tc>
              <w:tc>
                <w:tcPr>
                  <w:tcW w:w="976" w:type="dxa"/>
                  <w:shd w:val="clear" w:color="auto" w:fill="auto"/>
                  <w:noWrap/>
                  <w:vAlign w:val="bottom"/>
                  <w:hideMark/>
                </w:tcPr>
                <w:p w:rsidR="00A8326C" w:rsidRPr="0029488E" w:rsidRDefault="00A8326C" w:rsidP="00A8326C">
                  <w:pPr>
                    <w:spacing w:after="0" w:line="240" w:lineRule="auto"/>
                    <w:jc w:val="right"/>
                    <w:rPr>
                      <w:rFonts w:ascii="Garamond" w:eastAsia="Times New Roman" w:hAnsi="Garamond" w:cs="Calibri"/>
                      <w:color w:val="000000"/>
                      <w:sz w:val="24"/>
                      <w:szCs w:val="24"/>
                      <w:lang w:eastAsia="it-IT"/>
                    </w:rPr>
                  </w:pPr>
                  <w:r w:rsidRPr="0029488E">
                    <w:rPr>
                      <w:rFonts w:ascii="Garamond" w:eastAsia="Times New Roman" w:hAnsi="Garamond" w:cs="Calibri"/>
                      <w:color w:val="000000"/>
                      <w:sz w:val="24"/>
                      <w:szCs w:val="24"/>
                      <w:lang w:eastAsia="it-IT"/>
                    </w:rPr>
                    <w:t>2,06818</w:t>
                  </w:r>
                </w:p>
              </w:tc>
              <w:tc>
                <w:tcPr>
                  <w:tcW w:w="1325" w:type="dxa"/>
                  <w:shd w:val="clear" w:color="auto" w:fill="auto"/>
                  <w:noWrap/>
                  <w:vAlign w:val="bottom"/>
                  <w:hideMark/>
                </w:tcPr>
                <w:p w:rsidR="00A8326C" w:rsidRPr="0029488E" w:rsidRDefault="00A8326C" w:rsidP="00A8326C">
                  <w:pPr>
                    <w:spacing w:after="0" w:line="240" w:lineRule="auto"/>
                    <w:jc w:val="right"/>
                    <w:rPr>
                      <w:rFonts w:ascii="Garamond" w:eastAsia="Times New Roman" w:hAnsi="Garamond" w:cs="Calibri"/>
                      <w:color w:val="000000"/>
                      <w:sz w:val="24"/>
                      <w:szCs w:val="24"/>
                      <w:lang w:eastAsia="it-IT"/>
                    </w:rPr>
                  </w:pPr>
                  <w:r w:rsidRPr="0029488E">
                    <w:rPr>
                      <w:rFonts w:ascii="Garamond" w:eastAsia="Times New Roman" w:hAnsi="Garamond" w:cs="Calibri"/>
                      <w:color w:val="000000"/>
                      <w:sz w:val="24"/>
                      <w:szCs w:val="24"/>
                      <w:lang w:eastAsia="it-IT"/>
                    </w:rPr>
                    <w:t>1,518647</w:t>
                  </w:r>
                </w:p>
              </w:tc>
            </w:tr>
            <w:tr w:rsidR="00A8326C" w:rsidRPr="0029488E" w:rsidTr="00A8326C">
              <w:trPr>
                <w:trHeight w:val="300"/>
                <w:jc w:val="center"/>
              </w:trPr>
              <w:tc>
                <w:tcPr>
                  <w:tcW w:w="960" w:type="dxa"/>
                  <w:shd w:val="clear" w:color="auto" w:fill="auto"/>
                  <w:noWrap/>
                  <w:vAlign w:val="bottom"/>
                  <w:hideMark/>
                </w:tcPr>
                <w:p w:rsidR="00A8326C" w:rsidRPr="0029488E" w:rsidRDefault="00A8326C" w:rsidP="00A8326C">
                  <w:pPr>
                    <w:spacing w:after="0" w:line="240" w:lineRule="auto"/>
                    <w:jc w:val="center"/>
                    <w:rPr>
                      <w:rFonts w:ascii="Garamond" w:eastAsia="Times New Roman" w:hAnsi="Garamond" w:cs="Calibri"/>
                      <w:color w:val="C65911"/>
                      <w:sz w:val="24"/>
                      <w:szCs w:val="24"/>
                      <w:lang w:eastAsia="it-IT"/>
                    </w:rPr>
                  </w:pPr>
                  <w:r w:rsidRPr="0029488E">
                    <w:rPr>
                      <w:rFonts w:ascii="Garamond" w:eastAsia="Times New Roman" w:hAnsi="Garamond" w:cs="Calibri"/>
                      <w:color w:val="C65911"/>
                      <w:sz w:val="24"/>
                      <w:szCs w:val="24"/>
                      <w:lang w:eastAsia="it-IT"/>
                    </w:rPr>
                    <w:t>98</w:t>
                  </w:r>
                </w:p>
              </w:tc>
              <w:tc>
                <w:tcPr>
                  <w:tcW w:w="976" w:type="dxa"/>
                  <w:shd w:val="clear" w:color="auto" w:fill="auto"/>
                  <w:noWrap/>
                  <w:vAlign w:val="bottom"/>
                  <w:hideMark/>
                </w:tcPr>
                <w:p w:rsidR="00A8326C" w:rsidRPr="0029488E" w:rsidRDefault="00A8326C" w:rsidP="00A8326C">
                  <w:pPr>
                    <w:spacing w:after="0" w:line="240" w:lineRule="auto"/>
                    <w:jc w:val="right"/>
                    <w:rPr>
                      <w:rFonts w:ascii="Garamond" w:eastAsia="Times New Roman" w:hAnsi="Garamond" w:cs="Calibri"/>
                      <w:color w:val="000000"/>
                      <w:sz w:val="24"/>
                      <w:szCs w:val="24"/>
                      <w:lang w:eastAsia="it-IT"/>
                    </w:rPr>
                  </w:pPr>
                  <w:r w:rsidRPr="0029488E">
                    <w:rPr>
                      <w:rFonts w:ascii="Garamond" w:eastAsia="Times New Roman" w:hAnsi="Garamond" w:cs="Calibri"/>
                      <w:color w:val="000000"/>
                      <w:sz w:val="24"/>
                      <w:szCs w:val="24"/>
                      <w:lang w:eastAsia="it-IT"/>
                    </w:rPr>
                    <w:t>1,99122</w:t>
                  </w:r>
                </w:p>
              </w:tc>
              <w:tc>
                <w:tcPr>
                  <w:tcW w:w="1325" w:type="dxa"/>
                  <w:shd w:val="clear" w:color="auto" w:fill="auto"/>
                  <w:noWrap/>
                  <w:vAlign w:val="bottom"/>
                  <w:hideMark/>
                </w:tcPr>
                <w:p w:rsidR="00A8326C" w:rsidRPr="0029488E" w:rsidRDefault="00A8326C" w:rsidP="00A8326C">
                  <w:pPr>
                    <w:spacing w:after="0" w:line="240" w:lineRule="auto"/>
                    <w:jc w:val="right"/>
                    <w:rPr>
                      <w:rFonts w:ascii="Garamond" w:eastAsia="Times New Roman" w:hAnsi="Garamond" w:cs="Calibri"/>
                      <w:color w:val="000000"/>
                      <w:sz w:val="24"/>
                      <w:szCs w:val="24"/>
                      <w:lang w:eastAsia="it-IT"/>
                    </w:rPr>
                  </w:pPr>
                  <w:r w:rsidRPr="0029488E">
                    <w:rPr>
                      <w:rFonts w:ascii="Garamond" w:eastAsia="Times New Roman" w:hAnsi="Garamond" w:cs="Calibri"/>
                      <w:color w:val="000000"/>
                      <w:sz w:val="24"/>
                      <w:szCs w:val="24"/>
                      <w:lang w:eastAsia="it-IT"/>
                    </w:rPr>
                    <w:t>1,345601</w:t>
                  </w:r>
                </w:p>
              </w:tc>
            </w:tr>
            <w:tr w:rsidR="00A8326C" w:rsidRPr="0029488E" w:rsidTr="00A8326C">
              <w:trPr>
                <w:trHeight w:val="300"/>
                <w:jc w:val="center"/>
              </w:trPr>
              <w:tc>
                <w:tcPr>
                  <w:tcW w:w="960" w:type="dxa"/>
                  <w:shd w:val="clear" w:color="auto" w:fill="auto"/>
                  <w:noWrap/>
                  <w:vAlign w:val="bottom"/>
                  <w:hideMark/>
                </w:tcPr>
                <w:p w:rsidR="00A8326C" w:rsidRPr="0029488E" w:rsidRDefault="00A8326C" w:rsidP="00A8326C">
                  <w:pPr>
                    <w:spacing w:after="0" w:line="240" w:lineRule="auto"/>
                    <w:jc w:val="center"/>
                    <w:rPr>
                      <w:rFonts w:ascii="Garamond" w:eastAsia="Times New Roman" w:hAnsi="Garamond" w:cs="Calibri"/>
                      <w:color w:val="C65911"/>
                      <w:sz w:val="24"/>
                      <w:szCs w:val="24"/>
                      <w:lang w:eastAsia="it-IT"/>
                    </w:rPr>
                  </w:pPr>
                  <w:r w:rsidRPr="0029488E">
                    <w:rPr>
                      <w:rFonts w:ascii="Garamond" w:eastAsia="Times New Roman" w:hAnsi="Garamond" w:cs="Calibri"/>
                      <w:color w:val="C65911"/>
                      <w:sz w:val="24"/>
                      <w:szCs w:val="24"/>
                      <w:lang w:eastAsia="it-IT"/>
                    </w:rPr>
                    <w:t>85</w:t>
                  </w:r>
                </w:p>
              </w:tc>
              <w:tc>
                <w:tcPr>
                  <w:tcW w:w="976" w:type="dxa"/>
                  <w:shd w:val="clear" w:color="auto" w:fill="auto"/>
                  <w:noWrap/>
                  <w:vAlign w:val="bottom"/>
                  <w:hideMark/>
                </w:tcPr>
                <w:p w:rsidR="00A8326C" w:rsidRPr="0029488E" w:rsidRDefault="00A8326C" w:rsidP="00A8326C">
                  <w:pPr>
                    <w:spacing w:after="0" w:line="240" w:lineRule="auto"/>
                    <w:jc w:val="right"/>
                    <w:rPr>
                      <w:rFonts w:ascii="Garamond" w:eastAsia="Times New Roman" w:hAnsi="Garamond" w:cs="Calibri"/>
                      <w:color w:val="000000"/>
                      <w:sz w:val="24"/>
                      <w:szCs w:val="24"/>
                      <w:lang w:eastAsia="it-IT"/>
                    </w:rPr>
                  </w:pPr>
                  <w:r w:rsidRPr="0029488E">
                    <w:rPr>
                      <w:rFonts w:ascii="Garamond" w:eastAsia="Times New Roman" w:hAnsi="Garamond" w:cs="Calibri"/>
                      <w:color w:val="000000"/>
                      <w:sz w:val="24"/>
                      <w:szCs w:val="24"/>
                      <w:lang w:eastAsia="it-IT"/>
                    </w:rPr>
                    <w:t>1,92941</w:t>
                  </w:r>
                </w:p>
              </w:tc>
              <w:tc>
                <w:tcPr>
                  <w:tcW w:w="1325" w:type="dxa"/>
                  <w:shd w:val="clear" w:color="auto" w:fill="auto"/>
                  <w:noWrap/>
                  <w:vAlign w:val="bottom"/>
                  <w:hideMark/>
                </w:tcPr>
                <w:p w:rsidR="00A8326C" w:rsidRPr="0029488E" w:rsidRDefault="00A8326C" w:rsidP="00A8326C">
                  <w:pPr>
                    <w:spacing w:after="0" w:line="240" w:lineRule="auto"/>
                    <w:jc w:val="right"/>
                    <w:rPr>
                      <w:rFonts w:ascii="Garamond" w:eastAsia="Times New Roman" w:hAnsi="Garamond" w:cs="Calibri"/>
                      <w:color w:val="000000"/>
                      <w:sz w:val="24"/>
                      <w:szCs w:val="24"/>
                      <w:lang w:eastAsia="it-IT"/>
                    </w:rPr>
                  </w:pPr>
                  <w:r w:rsidRPr="0029488E">
                    <w:rPr>
                      <w:rFonts w:ascii="Garamond" w:eastAsia="Times New Roman" w:hAnsi="Garamond" w:cs="Calibri"/>
                      <w:color w:val="000000"/>
                      <w:sz w:val="24"/>
                      <w:szCs w:val="24"/>
                      <w:lang w:eastAsia="it-IT"/>
                    </w:rPr>
                    <w:t>1,142886</w:t>
                  </w:r>
                </w:p>
              </w:tc>
            </w:tr>
            <w:tr w:rsidR="00A8326C" w:rsidRPr="0029488E" w:rsidTr="00A8326C">
              <w:trPr>
                <w:trHeight w:val="300"/>
                <w:jc w:val="center"/>
              </w:trPr>
              <w:tc>
                <w:tcPr>
                  <w:tcW w:w="960" w:type="dxa"/>
                  <w:shd w:val="clear" w:color="auto" w:fill="auto"/>
                  <w:noWrap/>
                  <w:vAlign w:val="bottom"/>
                  <w:hideMark/>
                </w:tcPr>
                <w:p w:rsidR="00A8326C" w:rsidRPr="0029488E" w:rsidRDefault="00A8326C" w:rsidP="00A8326C">
                  <w:pPr>
                    <w:spacing w:after="0" w:line="240" w:lineRule="auto"/>
                    <w:jc w:val="center"/>
                    <w:rPr>
                      <w:rFonts w:ascii="Garamond" w:eastAsia="Times New Roman" w:hAnsi="Garamond" w:cs="Calibri"/>
                      <w:color w:val="C65911"/>
                      <w:sz w:val="24"/>
                      <w:szCs w:val="24"/>
                      <w:lang w:eastAsia="it-IT"/>
                    </w:rPr>
                  </w:pPr>
                  <w:r w:rsidRPr="0029488E">
                    <w:rPr>
                      <w:rFonts w:ascii="Garamond" w:eastAsia="Times New Roman" w:hAnsi="Garamond" w:cs="Calibri"/>
                      <w:color w:val="C65911"/>
                      <w:sz w:val="24"/>
                      <w:szCs w:val="24"/>
                      <w:lang w:eastAsia="it-IT"/>
                    </w:rPr>
                    <w:t>77</w:t>
                  </w:r>
                </w:p>
              </w:tc>
              <w:tc>
                <w:tcPr>
                  <w:tcW w:w="976" w:type="dxa"/>
                  <w:shd w:val="clear" w:color="auto" w:fill="auto"/>
                  <w:noWrap/>
                  <w:vAlign w:val="bottom"/>
                  <w:hideMark/>
                </w:tcPr>
                <w:p w:rsidR="00A8326C" w:rsidRPr="0029488E" w:rsidRDefault="00A8326C" w:rsidP="00A8326C">
                  <w:pPr>
                    <w:spacing w:after="0" w:line="240" w:lineRule="auto"/>
                    <w:jc w:val="right"/>
                    <w:rPr>
                      <w:rFonts w:ascii="Garamond" w:eastAsia="Times New Roman" w:hAnsi="Garamond" w:cs="Calibri"/>
                      <w:color w:val="000000"/>
                      <w:sz w:val="24"/>
                      <w:szCs w:val="24"/>
                      <w:lang w:eastAsia="it-IT"/>
                    </w:rPr>
                  </w:pPr>
                  <w:r w:rsidRPr="0029488E">
                    <w:rPr>
                      <w:rFonts w:ascii="Garamond" w:eastAsia="Times New Roman" w:hAnsi="Garamond" w:cs="Calibri"/>
                      <w:color w:val="000000"/>
                      <w:sz w:val="24"/>
                      <w:szCs w:val="24"/>
                      <w:lang w:eastAsia="it-IT"/>
                    </w:rPr>
                    <w:t>1,88649</w:t>
                  </w:r>
                </w:p>
              </w:tc>
              <w:tc>
                <w:tcPr>
                  <w:tcW w:w="1325" w:type="dxa"/>
                  <w:shd w:val="clear" w:color="auto" w:fill="auto"/>
                  <w:noWrap/>
                  <w:vAlign w:val="bottom"/>
                  <w:hideMark/>
                </w:tcPr>
                <w:p w:rsidR="00A8326C" w:rsidRPr="0029488E" w:rsidRDefault="00A8326C" w:rsidP="00A8326C">
                  <w:pPr>
                    <w:spacing w:after="0" w:line="240" w:lineRule="auto"/>
                    <w:jc w:val="right"/>
                    <w:rPr>
                      <w:rFonts w:ascii="Garamond" w:eastAsia="Times New Roman" w:hAnsi="Garamond" w:cs="Calibri"/>
                      <w:color w:val="000000"/>
                      <w:sz w:val="24"/>
                      <w:szCs w:val="24"/>
                      <w:lang w:eastAsia="it-IT"/>
                    </w:rPr>
                  </w:pPr>
                  <w:r w:rsidRPr="0029488E">
                    <w:rPr>
                      <w:rFonts w:ascii="Garamond" w:eastAsia="Times New Roman" w:hAnsi="Garamond" w:cs="Calibri"/>
                      <w:color w:val="000000"/>
                      <w:sz w:val="24"/>
                      <w:szCs w:val="24"/>
                      <w:lang w:eastAsia="it-IT"/>
                    </w:rPr>
                    <w:t>0,985589</w:t>
                  </w:r>
                </w:p>
              </w:tc>
            </w:tr>
            <w:tr w:rsidR="00A8326C" w:rsidRPr="0029488E" w:rsidTr="00A8326C">
              <w:trPr>
                <w:trHeight w:val="300"/>
                <w:jc w:val="center"/>
              </w:trPr>
              <w:tc>
                <w:tcPr>
                  <w:tcW w:w="960" w:type="dxa"/>
                  <w:shd w:val="clear" w:color="auto" w:fill="auto"/>
                  <w:noWrap/>
                  <w:vAlign w:val="bottom"/>
                  <w:hideMark/>
                </w:tcPr>
                <w:p w:rsidR="00A8326C" w:rsidRPr="0029488E" w:rsidRDefault="00A8326C" w:rsidP="00A8326C">
                  <w:pPr>
                    <w:spacing w:after="0" w:line="240" w:lineRule="auto"/>
                    <w:jc w:val="center"/>
                    <w:rPr>
                      <w:rFonts w:ascii="Garamond" w:eastAsia="Times New Roman" w:hAnsi="Garamond" w:cs="Calibri"/>
                      <w:color w:val="C65911"/>
                      <w:sz w:val="24"/>
                      <w:szCs w:val="24"/>
                      <w:lang w:eastAsia="it-IT"/>
                    </w:rPr>
                  </w:pPr>
                  <w:r w:rsidRPr="0029488E">
                    <w:rPr>
                      <w:rFonts w:ascii="Garamond" w:eastAsia="Times New Roman" w:hAnsi="Garamond" w:cs="Calibri"/>
                      <w:color w:val="C65911"/>
                      <w:sz w:val="24"/>
                      <w:szCs w:val="24"/>
                      <w:lang w:eastAsia="it-IT"/>
                    </w:rPr>
                    <w:t>67</w:t>
                  </w:r>
                </w:p>
              </w:tc>
              <w:tc>
                <w:tcPr>
                  <w:tcW w:w="976" w:type="dxa"/>
                  <w:shd w:val="clear" w:color="auto" w:fill="auto"/>
                  <w:noWrap/>
                  <w:vAlign w:val="bottom"/>
                  <w:hideMark/>
                </w:tcPr>
                <w:p w:rsidR="00A8326C" w:rsidRPr="0029488E" w:rsidRDefault="00A8326C" w:rsidP="00A8326C">
                  <w:pPr>
                    <w:spacing w:after="0" w:line="240" w:lineRule="auto"/>
                    <w:jc w:val="center"/>
                    <w:rPr>
                      <w:rFonts w:ascii="Garamond" w:eastAsia="Times New Roman" w:hAnsi="Garamond" w:cs="Calibri"/>
                      <w:color w:val="000000"/>
                      <w:sz w:val="24"/>
                      <w:szCs w:val="24"/>
                      <w:lang w:eastAsia="it-IT"/>
                    </w:rPr>
                  </w:pPr>
                  <w:r w:rsidRPr="0029488E">
                    <w:rPr>
                      <w:rFonts w:ascii="Garamond" w:eastAsia="Times New Roman" w:hAnsi="Garamond" w:cs="Calibri"/>
                      <w:color w:val="000000"/>
                      <w:sz w:val="24"/>
                      <w:szCs w:val="24"/>
                      <w:lang w:eastAsia="it-IT"/>
                    </w:rPr>
                    <w:t>1,82607</w:t>
                  </w:r>
                </w:p>
              </w:tc>
              <w:tc>
                <w:tcPr>
                  <w:tcW w:w="1325" w:type="dxa"/>
                  <w:shd w:val="clear" w:color="auto" w:fill="auto"/>
                  <w:noWrap/>
                  <w:vAlign w:val="bottom"/>
                  <w:hideMark/>
                </w:tcPr>
                <w:p w:rsidR="00A8326C" w:rsidRPr="0029488E" w:rsidRDefault="00A8326C" w:rsidP="00A8326C">
                  <w:pPr>
                    <w:spacing w:after="0" w:line="240" w:lineRule="auto"/>
                    <w:jc w:val="right"/>
                    <w:rPr>
                      <w:rFonts w:ascii="Garamond" w:eastAsia="Times New Roman" w:hAnsi="Garamond" w:cs="Calibri"/>
                      <w:color w:val="000000"/>
                      <w:sz w:val="24"/>
                      <w:szCs w:val="24"/>
                      <w:lang w:eastAsia="it-IT"/>
                    </w:rPr>
                  </w:pPr>
                  <w:r w:rsidRPr="0029488E">
                    <w:rPr>
                      <w:rFonts w:ascii="Garamond" w:eastAsia="Times New Roman" w:hAnsi="Garamond" w:cs="Calibri"/>
                      <w:color w:val="000000"/>
                      <w:sz w:val="24"/>
                      <w:szCs w:val="24"/>
                      <w:lang w:eastAsia="it-IT"/>
                    </w:rPr>
                    <w:t>0,762582</w:t>
                  </w:r>
                </w:p>
              </w:tc>
            </w:tr>
          </w:tbl>
          <w:p w:rsidR="00A8326C" w:rsidRPr="0029488E" w:rsidRDefault="00A8326C" w:rsidP="00071B1E">
            <w:pPr>
              <w:jc w:val="both"/>
              <w:rPr>
                <w:rFonts w:ascii="Garamond" w:hAnsi="Garamond"/>
                <w:sz w:val="24"/>
                <w:szCs w:val="24"/>
              </w:rPr>
            </w:pPr>
          </w:p>
        </w:tc>
        <w:tc>
          <w:tcPr>
            <w:tcW w:w="6089" w:type="dxa"/>
          </w:tcPr>
          <w:p w:rsidR="00A8326C" w:rsidRPr="0029488E" w:rsidRDefault="00A8326C" w:rsidP="00A8326C">
            <w:pPr>
              <w:jc w:val="center"/>
              <w:rPr>
                <w:rFonts w:ascii="Garamond" w:hAnsi="Garamond"/>
                <w:sz w:val="24"/>
                <w:szCs w:val="24"/>
              </w:rPr>
            </w:pPr>
            <w:r w:rsidRPr="0029488E">
              <w:rPr>
                <w:rFonts w:ascii="Garamond" w:hAnsi="Garamond"/>
                <w:noProof/>
                <w:sz w:val="24"/>
                <w:szCs w:val="24"/>
                <w:lang w:eastAsia="it-IT"/>
              </w:rPr>
              <w:drawing>
                <wp:inline distT="0" distB="0" distL="0" distR="0">
                  <wp:extent cx="3705225" cy="2428875"/>
                  <wp:effectExtent l="0" t="0" r="9525" b="9525"/>
                  <wp:docPr id="10" name="Grafico 10">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04B4CF9-3B7F-CC1A-85DB-CFA63D741C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rsidR="00A8326C" w:rsidRPr="0029488E" w:rsidRDefault="00A8326C" w:rsidP="00071B1E">
      <w:pPr>
        <w:jc w:val="both"/>
        <w:rPr>
          <w:rFonts w:ascii="Garamond" w:hAnsi="Garamond"/>
          <w:sz w:val="24"/>
          <w:szCs w:val="24"/>
        </w:rPr>
      </w:pPr>
    </w:p>
    <w:p w:rsidR="00071B1E" w:rsidRPr="0029488E" w:rsidRDefault="00E5500D" w:rsidP="00071B1E">
      <w:pPr>
        <w:jc w:val="both"/>
        <w:rPr>
          <w:rFonts w:ascii="Garamond" w:hAnsi="Garamond"/>
          <w:b/>
          <w:bCs/>
          <w:sz w:val="24"/>
          <w:szCs w:val="24"/>
        </w:rPr>
      </w:pPr>
      <w:r w:rsidRPr="0029488E">
        <w:rPr>
          <w:rFonts w:ascii="Garamond" w:hAnsi="Garamond"/>
          <w:b/>
          <w:bCs/>
          <w:sz w:val="24"/>
          <w:szCs w:val="24"/>
        </w:rPr>
        <w:t>Conclusioni</w:t>
      </w:r>
    </w:p>
    <w:p w:rsidR="00E5500D" w:rsidRPr="0029488E" w:rsidRDefault="00E5500D" w:rsidP="00071B1E">
      <w:pPr>
        <w:jc w:val="both"/>
        <w:rPr>
          <w:rFonts w:ascii="Garamond" w:hAnsi="Garamond"/>
          <w:sz w:val="24"/>
          <w:szCs w:val="24"/>
        </w:rPr>
      </w:pPr>
      <w:r w:rsidRPr="0029488E">
        <w:rPr>
          <w:rFonts w:ascii="Garamond" w:hAnsi="Garamond"/>
          <w:sz w:val="24"/>
          <w:szCs w:val="24"/>
        </w:rPr>
        <w:t>Alla luce dei risultati acquisiti, possiamo osservare la quasi perfetta aderenza della Successione di Fibonacci alla Legge di Benford.</w:t>
      </w:r>
    </w:p>
    <w:p w:rsidR="00071B1E" w:rsidRPr="00777354" w:rsidRDefault="00E5500D" w:rsidP="00841033">
      <w:pPr>
        <w:jc w:val="both"/>
        <w:rPr>
          <w:rFonts w:ascii="Bookman Old Style" w:hAnsi="Bookman Old Style"/>
        </w:rPr>
      </w:pPr>
      <w:r w:rsidRPr="0029488E">
        <w:rPr>
          <w:rFonts w:ascii="Garamond" w:hAnsi="Garamond"/>
          <w:sz w:val="24"/>
          <w:szCs w:val="24"/>
        </w:rPr>
        <w:t xml:space="preserve">Questa proprietà non può che confermare il legame che la distribuzione delle prime cifre di campioni casuali ha con i numeri di Fibonacci e, </w:t>
      </w:r>
      <w:r w:rsidR="005B466D" w:rsidRPr="0029488E">
        <w:rPr>
          <w:rFonts w:ascii="Garamond" w:hAnsi="Garamond"/>
          <w:sz w:val="24"/>
          <w:szCs w:val="24"/>
        </w:rPr>
        <w:t>in ragione della familiarità che gli stessi numeri hanno con le forme naturali, con l’armonia</w:t>
      </w:r>
      <w:r w:rsidR="005B466D">
        <w:rPr>
          <w:rFonts w:ascii="Bookman Old Style" w:hAnsi="Bookman Old Style"/>
        </w:rPr>
        <w:t xml:space="preserve"> della natura stessa del Mondo.</w:t>
      </w:r>
    </w:p>
    <w:sectPr w:rsidR="00071B1E" w:rsidRPr="00777354" w:rsidSect="0081177A">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8B7" w:rsidRDefault="006478B7" w:rsidP="00475D51">
      <w:pPr>
        <w:spacing w:after="0" w:line="240" w:lineRule="auto"/>
      </w:pPr>
      <w:r>
        <w:separator/>
      </w:r>
    </w:p>
  </w:endnote>
  <w:endnote w:type="continuationSeparator" w:id="1">
    <w:p w:rsidR="006478B7" w:rsidRDefault="006478B7" w:rsidP="00475D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8B7" w:rsidRDefault="006478B7" w:rsidP="00475D51">
      <w:pPr>
        <w:spacing w:after="0" w:line="240" w:lineRule="auto"/>
      </w:pPr>
      <w:r>
        <w:separator/>
      </w:r>
    </w:p>
  </w:footnote>
  <w:footnote w:type="continuationSeparator" w:id="1">
    <w:p w:rsidR="006478B7" w:rsidRDefault="006478B7" w:rsidP="00475D51">
      <w:pPr>
        <w:spacing w:after="0" w:line="240" w:lineRule="auto"/>
      </w:pPr>
      <w:r>
        <w:continuationSeparator/>
      </w:r>
    </w:p>
  </w:footnote>
  <w:footnote w:id="2">
    <w:p w:rsidR="009B0B15" w:rsidRPr="00072B21" w:rsidRDefault="009B0B15">
      <w:pPr>
        <w:pStyle w:val="Testonotaapidipagina"/>
        <w:rPr>
          <w:rFonts w:ascii="Bookman Old Style" w:hAnsi="Bookman Old Style"/>
        </w:rPr>
      </w:pPr>
      <w:r w:rsidRPr="00072B21">
        <w:rPr>
          <w:rStyle w:val="Rimandonotaapidipagina"/>
          <w:rFonts w:ascii="Bookman Old Style" w:hAnsi="Bookman Old Style"/>
        </w:rPr>
        <w:footnoteRef/>
      </w:r>
      <w:r w:rsidRPr="00072B21">
        <w:rPr>
          <w:rFonts w:ascii="Bookman Old Style" w:hAnsi="Bookman Old Style"/>
        </w:rPr>
        <w:t xml:space="preserve"> Trattandosi di equazione di II grado, l’altra soluzione è </w:t>
      </w:r>
      <w:r w:rsidRPr="00072B21">
        <w:rPr>
          <w:rFonts w:ascii="Bookman Old Style" w:hAnsi="Bookman Old Style"/>
          <w:noProof/>
          <w:lang w:eastAsia="it-IT"/>
        </w:rPr>
        <w:drawing>
          <wp:inline distT="0" distB="0" distL="0" distR="0">
            <wp:extent cx="2035175" cy="562464"/>
            <wp:effectExtent l="0" t="0" r="3175" b="9525"/>
            <wp:docPr id="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78035" cy="574309"/>
                    </a:xfrm>
                    <a:prstGeom prst="rect">
                      <a:avLst/>
                    </a:prstGeom>
                  </pic:spPr>
                </pic:pic>
              </a:graphicData>
            </a:graphic>
          </wp:inline>
        </w:drawing>
      </w:r>
    </w:p>
  </w:footnote>
  <w:footnote w:id="3">
    <w:p w:rsidR="00475D51" w:rsidRDefault="00475D51" w:rsidP="00475D51">
      <w:pPr>
        <w:pStyle w:val="Testonotaapidipagina"/>
      </w:pPr>
      <w:r>
        <w:rPr>
          <w:rStyle w:val="Rimandonotaapidipagina"/>
        </w:rPr>
        <w:footnoteRef/>
      </w:r>
      <w:r w:rsidRPr="00777354">
        <w:rPr>
          <w:rFonts w:ascii="Bookman Old Style" w:hAnsi="Bookman Old Style"/>
        </w:rPr>
        <w:t>In realtà, Hill enunciò anche il seguente teorema: “Se si prendono campioni a caso da insiemi di dati scelti a caso,quanti più insiemi e campioni si scelgono, tanto più la distribuzione della prima cifra dei campioni combinati siavvicinerà alla legge di Benford”.</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08"/>
  <w:hyphenationZone w:val="283"/>
  <w:characterSpacingControl w:val="doNotCompress"/>
  <w:footnotePr>
    <w:footnote w:id="0"/>
    <w:footnote w:id="1"/>
  </w:footnotePr>
  <w:endnotePr>
    <w:endnote w:id="0"/>
    <w:endnote w:id="1"/>
  </w:endnotePr>
  <w:compat/>
  <w:rsids>
    <w:rsidRoot w:val="00472F2F"/>
    <w:rsid w:val="00063FC1"/>
    <w:rsid w:val="00071B1E"/>
    <w:rsid w:val="00072B21"/>
    <w:rsid w:val="0013493E"/>
    <w:rsid w:val="001426A5"/>
    <w:rsid w:val="00147D26"/>
    <w:rsid w:val="0016543A"/>
    <w:rsid w:val="00192602"/>
    <w:rsid w:val="001C7B00"/>
    <w:rsid w:val="0029488E"/>
    <w:rsid w:val="00314285"/>
    <w:rsid w:val="00351295"/>
    <w:rsid w:val="00472F2F"/>
    <w:rsid w:val="00475D51"/>
    <w:rsid w:val="00556442"/>
    <w:rsid w:val="005B466D"/>
    <w:rsid w:val="005C2715"/>
    <w:rsid w:val="006043F9"/>
    <w:rsid w:val="006478B7"/>
    <w:rsid w:val="006A4066"/>
    <w:rsid w:val="00704DDA"/>
    <w:rsid w:val="00777354"/>
    <w:rsid w:val="0078159B"/>
    <w:rsid w:val="007932EB"/>
    <w:rsid w:val="00803E4C"/>
    <w:rsid w:val="0081177A"/>
    <w:rsid w:val="00841033"/>
    <w:rsid w:val="008669BB"/>
    <w:rsid w:val="00913462"/>
    <w:rsid w:val="00966954"/>
    <w:rsid w:val="009B0B15"/>
    <w:rsid w:val="009F32D1"/>
    <w:rsid w:val="00A43398"/>
    <w:rsid w:val="00A74414"/>
    <w:rsid w:val="00A8326C"/>
    <w:rsid w:val="00B13AEA"/>
    <w:rsid w:val="00B41461"/>
    <w:rsid w:val="00B67D55"/>
    <w:rsid w:val="00B906FD"/>
    <w:rsid w:val="00BB2BF7"/>
    <w:rsid w:val="00BC22A6"/>
    <w:rsid w:val="00C2253D"/>
    <w:rsid w:val="00C83712"/>
    <w:rsid w:val="00DB5536"/>
    <w:rsid w:val="00E5500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177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75D5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75D51"/>
    <w:rPr>
      <w:sz w:val="20"/>
      <w:szCs w:val="20"/>
    </w:rPr>
  </w:style>
  <w:style w:type="character" w:styleId="Rimandonotaapidipagina">
    <w:name w:val="footnote reference"/>
    <w:basedOn w:val="Carpredefinitoparagrafo"/>
    <w:uiPriority w:val="99"/>
    <w:semiHidden/>
    <w:unhideWhenUsed/>
    <w:rsid w:val="00475D51"/>
    <w:rPr>
      <w:vertAlign w:val="superscript"/>
    </w:rPr>
  </w:style>
  <w:style w:type="table" w:styleId="Grigliatabella">
    <w:name w:val="Table Grid"/>
    <w:basedOn w:val="Tabellanormale"/>
    <w:uiPriority w:val="39"/>
    <w:rsid w:val="00A832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7924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chart" Target="charts/chart1.xml"/></Relationships>
</file>

<file path=word/_rels/footnotes.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giusf\Desktop\articolo_fibonacci_benford\calcol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usf\Desktop\articolo_fibonacci_benford\calcol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iusf\Desktop\articolo_fibonacci_benford\calcol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t-I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it-IT"/>
              <a:t>Confronto Benford - Fibonacci</a:t>
            </a:r>
          </a:p>
        </c:rich>
      </c:tx>
      <c:spPr>
        <a:noFill/>
        <a:ln>
          <a:noFill/>
        </a:ln>
        <a:effectLst/>
      </c:spPr>
    </c:title>
    <c:plotArea>
      <c:layout/>
      <c:barChart>
        <c:barDir val="col"/>
        <c:grouping val="clustered"/>
        <c:ser>
          <c:idx val="0"/>
          <c:order val="0"/>
          <c:tx>
            <c:v>Valori Benford</c:v>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val>
            <c:numRef>
              <c:f>Foglio1!$E$2:$E$10</c:f>
              <c:numCache>
                <c:formatCode>General</c:formatCode>
                <c:ptCount val="9"/>
                <c:pt idx="0">
                  <c:v>1</c:v>
                </c:pt>
                <c:pt idx="1">
                  <c:v>2</c:v>
                </c:pt>
                <c:pt idx="2">
                  <c:v>3</c:v>
                </c:pt>
                <c:pt idx="3">
                  <c:v>4</c:v>
                </c:pt>
                <c:pt idx="4">
                  <c:v>5</c:v>
                </c:pt>
                <c:pt idx="5">
                  <c:v>6</c:v>
                </c:pt>
                <c:pt idx="6">
                  <c:v>7</c:v>
                </c:pt>
                <c:pt idx="7">
                  <c:v>8</c:v>
                </c:pt>
                <c:pt idx="8">
                  <c:v>9</c:v>
                </c:pt>
              </c:numCache>
            </c:numRef>
          </c:val>
          <c:extLst xmlns:c16r2="http://schemas.microsoft.com/office/drawing/2015/06/chart">
            <c:ext xmlns:c16="http://schemas.microsoft.com/office/drawing/2014/chart" uri="{C3380CC4-5D6E-409C-BE32-E72D297353CC}">
              <c16:uniqueId val="{00000000-D045-4455-BDBB-AB20DEAC9272}"/>
            </c:ext>
          </c:extLst>
        </c:ser>
        <c:ser>
          <c:idx val="1"/>
          <c:order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val>
            <c:numRef>
              <c:f>Foglio1!$F$2:$F$10</c:f>
              <c:numCache>
                <c:formatCode>General</c:formatCode>
                <c:ptCount val="9"/>
                <c:pt idx="0">
                  <c:v>445</c:v>
                </c:pt>
                <c:pt idx="1">
                  <c:v>260</c:v>
                </c:pt>
                <c:pt idx="2">
                  <c:v>184</c:v>
                </c:pt>
                <c:pt idx="3">
                  <c:v>143</c:v>
                </c:pt>
                <c:pt idx="4">
                  <c:v>117</c:v>
                </c:pt>
                <c:pt idx="5">
                  <c:v>98</c:v>
                </c:pt>
                <c:pt idx="6">
                  <c:v>85</c:v>
                </c:pt>
                <c:pt idx="7">
                  <c:v>77</c:v>
                </c:pt>
                <c:pt idx="8">
                  <c:v>67</c:v>
                </c:pt>
              </c:numCache>
            </c:numRef>
          </c:val>
          <c:extLst xmlns:c16r2="http://schemas.microsoft.com/office/drawing/2015/06/chart">
            <c:ext xmlns:c16="http://schemas.microsoft.com/office/drawing/2014/chart" uri="{C3380CC4-5D6E-409C-BE32-E72D297353CC}">
              <c16:uniqueId val="{00000001-D045-4455-BDBB-AB20DEAC9272}"/>
            </c:ext>
          </c:extLst>
        </c:ser>
        <c:ser>
          <c:idx val="2"/>
          <c:order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val>
            <c:numRef>
              <c:f>Foglio1!$G$2:$G$10</c:f>
              <c:numCache>
                <c:formatCode>General</c:formatCode>
                <c:ptCount val="9"/>
                <c:pt idx="0">
                  <c:v>444.28</c:v>
                </c:pt>
                <c:pt idx="1">
                  <c:v>259.9199999999999</c:v>
                </c:pt>
                <c:pt idx="2">
                  <c:v>184.35000000000005</c:v>
                </c:pt>
                <c:pt idx="3">
                  <c:v>143.02000000000001</c:v>
                </c:pt>
                <c:pt idx="4">
                  <c:v>116.9</c:v>
                </c:pt>
                <c:pt idx="5">
                  <c:v>98.740000000000023</c:v>
                </c:pt>
                <c:pt idx="6">
                  <c:v>85.61</c:v>
                </c:pt>
                <c:pt idx="7">
                  <c:v>75.569999999999993</c:v>
                </c:pt>
                <c:pt idx="8">
                  <c:v>67.599999999999994</c:v>
                </c:pt>
              </c:numCache>
            </c:numRef>
          </c:val>
          <c:extLst xmlns:c16r2="http://schemas.microsoft.com/office/drawing/2015/06/chart">
            <c:ext xmlns:c16="http://schemas.microsoft.com/office/drawing/2014/chart" uri="{C3380CC4-5D6E-409C-BE32-E72D297353CC}">
              <c16:uniqueId val="{00000002-D045-4455-BDBB-AB20DEAC9272}"/>
            </c:ext>
          </c:extLst>
        </c:ser>
        <c:gapWidth val="100"/>
        <c:overlap val="-24"/>
        <c:axId val="38360576"/>
        <c:axId val="38832768"/>
      </c:barChart>
      <c:catAx>
        <c:axId val="38360576"/>
        <c:scaling>
          <c:orientation val="minMax"/>
        </c:scaling>
        <c:axPos val="b"/>
        <c:maj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it-IT"/>
          </a:p>
        </c:txPr>
        <c:crossAx val="38832768"/>
        <c:crosses val="autoZero"/>
        <c:auto val="1"/>
        <c:lblAlgn val="ctr"/>
        <c:lblOffset val="100"/>
      </c:catAx>
      <c:valAx>
        <c:axId val="38832768"/>
        <c:scaling>
          <c:orientation val="minMax"/>
        </c:scaling>
        <c:axPos val="l"/>
        <c:majorGridlines>
          <c:spPr>
            <a:ln w="9525" cap="flat" cmpd="sng" algn="ctr">
              <a:solidFill>
                <a:schemeClr val="lt1">
                  <a:lumMod val="95000"/>
                  <a:alpha val="10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it-IT"/>
          </a:p>
        </c:txPr>
        <c:crossAx val="38360576"/>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accent5">
        <a:lumMod val="75000"/>
      </a:schemeClr>
    </a:solidFill>
    <a:ln>
      <a:noFill/>
    </a:ln>
    <a:effectLst/>
  </c:spPr>
  <c:txPr>
    <a:bodyPr/>
    <a:lstStyle/>
    <a:p>
      <a:pPr>
        <a:defRPr/>
      </a:pPr>
      <a:endParaRPr lang="it-IT"/>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t-IT"/>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it-IT"/>
              <a:t>distribuzione F(n)</a:t>
            </a:r>
          </a:p>
        </c:rich>
      </c:tx>
      <c:spPr>
        <a:noFill/>
        <a:ln>
          <a:noFill/>
        </a:ln>
        <a:effectLst/>
      </c:spPr>
    </c:title>
    <c:plotArea>
      <c:layout/>
      <c:scatterChart>
        <c:scatterStyle val="lineMarker"/>
        <c:ser>
          <c:idx val="0"/>
          <c:order val="0"/>
          <c:spPr>
            <a:ln w="28575" cap="rnd">
              <a:solidFill>
                <a:schemeClr val="lt1">
                  <a:alpha val="50000"/>
                </a:schemeClr>
              </a:solidFill>
              <a:round/>
            </a:ln>
            <a:effectLst>
              <a:outerShdw dist="25400" dir="2700000" algn="tl" rotWithShape="0">
                <a:schemeClr val="accent1"/>
              </a:outerShdw>
            </a:effectLst>
          </c:spPr>
          <c:marker>
            <c:symbol val="circle"/>
            <c:size val="6"/>
            <c:spPr>
              <a:solidFill>
                <a:schemeClr val="accent1"/>
              </a:solidFill>
              <a:ln w="22225">
                <a:solidFill>
                  <a:schemeClr val="lt1"/>
                </a:solidFill>
                <a:round/>
              </a:ln>
              <a:effectLst/>
            </c:spPr>
          </c:marker>
          <c:trendline>
            <c:spPr>
              <a:ln w="28575" cap="rnd">
                <a:solidFill>
                  <a:schemeClr val="lt1">
                    <a:alpha val="50000"/>
                  </a:schemeClr>
                </a:solidFill>
                <a:round/>
              </a:ln>
              <a:effectLst/>
            </c:spPr>
            <c:trendlineType val="power"/>
            <c:dispRSqr val="1"/>
            <c:dispEq val="1"/>
            <c:trendlineLbl>
              <c:layout>
                <c:manualLayout>
                  <c:x val="-5.1149825021872243E-2"/>
                  <c:y val="-0.47144320501603965"/>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it-IT"/>
                </a:p>
              </c:txPr>
            </c:trendlineLbl>
          </c:trendline>
          <c:xVal>
            <c:numRef>
              <c:f>Foglio1!$E$1:$E$9</c:f>
              <c:numCache>
                <c:formatCode>General</c:formatCode>
                <c:ptCount val="9"/>
                <c:pt idx="0">
                  <c:v>1</c:v>
                </c:pt>
                <c:pt idx="1">
                  <c:v>2</c:v>
                </c:pt>
                <c:pt idx="2">
                  <c:v>3</c:v>
                </c:pt>
                <c:pt idx="3">
                  <c:v>4</c:v>
                </c:pt>
                <c:pt idx="4">
                  <c:v>5</c:v>
                </c:pt>
                <c:pt idx="5">
                  <c:v>6</c:v>
                </c:pt>
                <c:pt idx="6">
                  <c:v>7</c:v>
                </c:pt>
                <c:pt idx="7">
                  <c:v>8</c:v>
                </c:pt>
                <c:pt idx="8">
                  <c:v>9</c:v>
                </c:pt>
              </c:numCache>
            </c:numRef>
          </c:xVal>
          <c:yVal>
            <c:numRef>
              <c:f>Foglio1!$F$1:$F$9</c:f>
              <c:numCache>
                <c:formatCode>General</c:formatCode>
                <c:ptCount val="9"/>
                <c:pt idx="0">
                  <c:v>445</c:v>
                </c:pt>
                <c:pt idx="1">
                  <c:v>260</c:v>
                </c:pt>
                <c:pt idx="2">
                  <c:v>184</c:v>
                </c:pt>
                <c:pt idx="3">
                  <c:v>143</c:v>
                </c:pt>
                <c:pt idx="4">
                  <c:v>117</c:v>
                </c:pt>
                <c:pt idx="5">
                  <c:v>98</c:v>
                </c:pt>
                <c:pt idx="6">
                  <c:v>85</c:v>
                </c:pt>
                <c:pt idx="7">
                  <c:v>77</c:v>
                </c:pt>
                <c:pt idx="8">
                  <c:v>67</c:v>
                </c:pt>
              </c:numCache>
            </c:numRef>
          </c:yVal>
          <c:extLst xmlns:c16r2="http://schemas.microsoft.com/office/drawing/2015/06/chart">
            <c:ext xmlns:c16="http://schemas.microsoft.com/office/drawing/2014/chart" uri="{C3380CC4-5D6E-409C-BE32-E72D297353CC}">
              <c16:uniqueId val="{00000001-276D-455A-A3C5-1E0B913203C3}"/>
            </c:ext>
          </c:extLst>
        </c:ser>
        <c:axId val="81973248"/>
        <c:axId val="96645120"/>
      </c:scatterChart>
      <c:valAx>
        <c:axId val="81973248"/>
        <c:scaling>
          <c:orientation val="minMax"/>
        </c:scaling>
        <c:axPos val="b"/>
        <c:majorGridlines>
          <c:spPr>
            <a:ln w="9525" cap="flat" cmpd="sng" algn="ctr">
              <a:solidFill>
                <a:schemeClr val="lt1">
                  <a:alpha val="2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it-IT"/>
          </a:p>
        </c:txPr>
        <c:crossAx val="96645120"/>
        <c:crosses val="autoZero"/>
        <c:crossBetween val="midCat"/>
      </c:valAx>
      <c:valAx>
        <c:axId val="96645120"/>
        <c:scaling>
          <c:orientation val="minMax"/>
        </c:scaling>
        <c:axPos val="l"/>
        <c:majorGridlines>
          <c:spPr>
            <a:ln w="9525" cap="flat" cmpd="sng" algn="ctr">
              <a:solidFill>
                <a:schemeClr val="lt1">
                  <a:alpha val="2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it-IT"/>
          </a:p>
        </c:txPr>
        <c:crossAx val="81973248"/>
        <c:crosses val="autoZero"/>
        <c:crossBetween val="midCat"/>
      </c:valAx>
      <c:spPr>
        <a:noFill/>
        <a:ln>
          <a:noFill/>
        </a:ln>
        <a:effectLst/>
      </c:spPr>
    </c:plotArea>
    <c:plotVisOnly val="1"/>
    <c:dispBlanksAs val="gap"/>
  </c:chart>
  <c:spPr>
    <a:solidFill>
      <a:schemeClr val="accent1"/>
    </a:solidFill>
    <a:ln w="9525" cap="flat" cmpd="sng" algn="ctr">
      <a:solidFill>
        <a:schemeClr val="accent1"/>
      </a:solidFill>
      <a:round/>
    </a:ln>
    <a:effectLst/>
  </c:spPr>
  <c:txPr>
    <a:bodyPr/>
    <a:lstStyle/>
    <a:p>
      <a:pPr>
        <a:defRPr/>
      </a:pPr>
      <a:endParaRPr lang="it-IT"/>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t-IT"/>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it-IT"/>
              <a:t>distribuzione normale</a:t>
            </a:r>
          </a:p>
        </c:rich>
      </c:tx>
      <c:layout>
        <c:manualLayout>
          <c:xMode val="edge"/>
          <c:yMode val="edge"/>
          <c:x val="0.24593744531933515"/>
          <c:y val="0"/>
        </c:manualLayout>
      </c:layout>
      <c:spPr>
        <a:noFill/>
        <a:ln>
          <a:noFill/>
        </a:ln>
        <a:effectLst/>
      </c:spPr>
    </c:title>
    <c:plotArea>
      <c:layout/>
      <c:scatterChart>
        <c:scatterStyle val="smoothMarker"/>
        <c:ser>
          <c:idx val="0"/>
          <c:order val="0"/>
          <c:spPr>
            <a:ln w="28575" cap="rnd">
              <a:solidFill>
                <a:schemeClr val="lt1">
                  <a:alpha val="50000"/>
                </a:schemeClr>
              </a:solidFill>
              <a:round/>
            </a:ln>
            <a:effectLst>
              <a:outerShdw dist="25400" dir="2700000" algn="tl" rotWithShape="0">
                <a:schemeClr val="accent1"/>
              </a:outerShdw>
            </a:effectLst>
          </c:spPr>
          <c:marker>
            <c:symbol val="none"/>
          </c:marker>
          <c:yVal>
            <c:numRef>
              <c:f>Foglio1!$H$1:$H$9</c:f>
              <c:numCache>
                <c:formatCode>General</c:formatCode>
                <c:ptCount val="9"/>
                <c:pt idx="0">
                  <c:v>0.19998656106039822</c:v>
                </c:pt>
                <c:pt idx="1">
                  <c:v>0.84367903082429563</c:v>
                </c:pt>
                <c:pt idx="2">
                  <c:v>1.3663756353786589</c:v>
                </c:pt>
                <c:pt idx="3">
                  <c:v>1.5597905376739338</c:v>
                </c:pt>
                <c:pt idx="4">
                  <c:v>1.5186465395957729</c:v>
                </c:pt>
                <c:pt idx="5">
                  <c:v>1.3456007438093032</c:v>
                </c:pt>
                <c:pt idx="6">
                  <c:v>1.1428859768905884</c:v>
                </c:pt>
                <c:pt idx="7">
                  <c:v>0.98558885033440635</c:v>
                </c:pt>
                <c:pt idx="8">
                  <c:v>0.76258158963885991</c:v>
                </c:pt>
              </c:numCache>
            </c:numRef>
          </c:yVal>
          <c:smooth val="1"/>
          <c:extLst xmlns:c16r2="http://schemas.microsoft.com/office/drawing/2015/06/chart">
            <c:ext xmlns:c16="http://schemas.microsoft.com/office/drawing/2014/chart" uri="{C3380CC4-5D6E-409C-BE32-E72D297353CC}">
              <c16:uniqueId val="{00000000-6DDD-4038-B2B5-3044EFD0A99D}"/>
            </c:ext>
          </c:extLst>
        </c:ser>
        <c:axId val="99432704"/>
        <c:axId val="148589184"/>
      </c:scatterChart>
      <c:valAx>
        <c:axId val="99432704"/>
        <c:scaling>
          <c:orientation val="minMax"/>
        </c:scaling>
        <c:axPos val="b"/>
        <c:majorGridlines>
          <c:spPr>
            <a:ln w="9525" cap="flat" cmpd="sng" algn="ctr">
              <a:solidFill>
                <a:schemeClr val="lt1">
                  <a:alpha val="25000"/>
                </a:schemeClr>
              </a:solidFill>
              <a:round/>
            </a:ln>
            <a:effectLst/>
          </c:spPr>
        </c:majorGridlines>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it-IT"/>
          </a:p>
        </c:txPr>
        <c:crossAx val="148589184"/>
        <c:crosses val="autoZero"/>
        <c:crossBetween val="midCat"/>
      </c:valAx>
      <c:valAx>
        <c:axId val="148589184"/>
        <c:scaling>
          <c:orientation val="minMax"/>
        </c:scaling>
        <c:axPos val="l"/>
        <c:majorGridlines>
          <c:spPr>
            <a:ln w="9525" cap="flat" cmpd="sng" algn="ctr">
              <a:solidFill>
                <a:schemeClr val="lt1">
                  <a:alpha val="2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it-IT"/>
          </a:p>
        </c:txPr>
        <c:crossAx val="99432704"/>
        <c:crosses val="autoZero"/>
        <c:crossBetween val="midCat"/>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accent1"/>
    </a:solidFill>
    <a:ln w="9525" cap="flat" cmpd="sng" algn="ctr">
      <a:solidFill>
        <a:schemeClr val="accent1"/>
      </a:solidFill>
      <a:round/>
    </a:ln>
    <a:effectLst/>
  </c:spPr>
  <c:txPr>
    <a:bodyPr/>
    <a:lstStyle/>
    <a:p>
      <a:pPr>
        <a:defRPr/>
      </a:pPr>
      <a:endParaRPr lang="it-IT"/>
    </a:p>
  </c:txPr>
  <c:externalData r:id="rId1"/>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77343-8C41-4015-BD91-175AC4CFD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1329</Words>
  <Characters>7580</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fusco</dc:creator>
  <cp:lastModifiedBy>simona</cp:lastModifiedBy>
  <cp:revision>3</cp:revision>
  <dcterms:created xsi:type="dcterms:W3CDTF">2022-09-24T11:40:00Z</dcterms:created>
  <dcterms:modified xsi:type="dcterms:W3CDTF">2022-09-24T11:44:00Z</dcterms:modified>
</cp:coreProperties>
</file>